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258C" w14:textId="70728B53" w:rsidR="0042478C" w:rsidRPr="00AC459A" w:rsidRDefault="0042478C" w:rsidP="00AC459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C459A">
        <w:rPr>
          <w:rFonts w:ascii="Times New Roman" w:hAnsi="Times New Roman" w:cs="Times New Roman"/>
          <w:b/>
          <w:bCs/>
          <w:sz w:val="32"/>
          <w:szCs w:val="32"/>
        </w:rPr>
        <w:t xml:space="preserve">Az öregedés hatása a </w:t>
      </w:r>
      <w:proofErr w:type="spellStart"/>
      <w:r w:rsidRPr="00AC459A">
        <w:rPr>
          <w:rFonts w:ascii="Times New Roman" w:hAnsi="Times New Roman" w:cs="Times New Roman"/>
          <w:b/>
          <w:bCs/>
          <w:sz w:val="32"/>
          <w:szCs w:val="32"/>
        </w:rPr>
        <w:t>cardiovascularis</w:t>
      </w:r>
      <w:proofErr w:type="spellEnd"/>
      <w:r w:rsidRPr="00AC459A">
        <w:rPr>
          <w:rFonts w:ascii="Times New Roman" w:hAnsi="Times New Roman" w:cs="Times New Roman"/>
          <w:b/>
          <w:bCs/>
          <w:sz w:val="32"/>
          <w:szCs w:val="32"/>
        </w:rPr>
        <w:t xml:space="preserve"> rendszerre</w:t>
      </w:r>
    </w:p>
    <w:p w14:paraId="63A35951" w14:textId="6D2E755E" w:rsidR="0042478C" w:rsidRDefault="00AC459A" w:rsidP="00AC4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 előrehaladtával</w:t>
      </w:r>
      <w:r w:rsidR="0042478C">
        <w:rPr>
          <w:rFonts w:ascii="Times New Roman" w:hAnsi="Times New Roman" w:cs="Times New Roman"/>
          <w:sz w:val="24"/>
          <w:szCs w:val="24"/>
        </w:rPr>
        <w:t xml:space="preserve"> nagy mértékben növekszik a szív- és érrendszeri megbetegedések aránya, amelynek oka a </w:t>
      </w:r>
      <w:proofErr w:type="spellStart"/>
      <w:r w:rsidR="0042478C">
        <w:rPr>
          <w:rFonts w:ascii="Times New Roman" w:hAnsi="Times New Roman" w:cs="Times New Roman"/>
          <w:sz w:val="24"/>
          <w:szCs w:val="24"/>
        </w:rPr>
        <w:t>cardiovascularis</w:t>
      </w:r>
      <w:proofErr w:type="spellEnd"/>
      <w:r w:rsidR="0042478C">
        <w:rPr>
          <w:rFonts w:ascii="Times New Roman" w:hAnsi="Times New Roman" w:cs="Times New Roman"/>
          <w:sz w:val="24"/>
          <w:szCs w:val="24"/>
        </w:rPr>
        <w:t xml:space="preserve"> rendszer funkcionális és morfológiai átalakulása</w:t>
      </w:r>
      <w:r>
        <w:rPr>
          <w:rFonts w:ascii="Times New Roman" w:hAnsi="Times New Roman" w:cs="Times New Roman"/>
          <w:sz w:val="24"/>
          <w:szCs w:val="24"/>
        </w:rPr>
        <w:t xml:space="preserve">. Ezeknél a betegségeknél meghatározó tényező lehet a genetikai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epigenetikai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háttér, de legfontosabb faktor mégis maga az öregedés.</w:t>
      </w:r>
    </w:p>
    <w:p w14:paraId="39CC4C55" w14:textId="1146C940" w:rsidR="00961B1E" w:rsidRPr="0042478C" w:rsidRDefault="00961B1E" w:rsidP="00AC45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DC1">
        <w:rPr>
          <w:rFonts w:ascii="Times New Roman" w:hAnsi="Times New Roman" w:cs="Times New Roman"/>
          <w:b/>
          <w:bCs/>
          <w:sz w:val="24"/>
          <w:szCs w:val="24"/>
          <w:u w:val="single"/>
        </w:rPr>
        <w:t>A szív szerkezetének változásai</w:t>
      </w:r>
    </w:p>
    <w:p w14:paraId="6D991B30" w14:textId="67FF8350" w:rsidR="00961B1E" w:rsidRPr="00422DC1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217505"/>
      <w:r w:rsidRPr="00422DC1">
        <w:rPr>
          <w:rFonts w:ascii="Times New Roman" w:hAnsi="Times New Roman" w:cs="Times New Roman"/>
          <w:b/>
          <w:bCs/>
          <w:sz w:val="24"/>
          <w:szCs w:val="24"/>
        </w:rPr>
        <w:t xml:space="preserve">Bal kamrai </w:t>
      </w:r>
      <w:proofErr w:type="spellStart"/>
      <w:r w:rsidRPr="00422DC1">
        <w:rPr>
          <w:rFonts w:ascii="Times New Roman" w:hAnsi="Times New Roman" w:cs="Times New Roman"/>
          <w:b/>
          <w:bCs/>
          <w:sz w:val="24"/>
          <w:szCs w:val="24"/>
        </w:rPr>
        <w:t>hypertrófia</w:t>
      </w:r>
      <w:proofErr w:type="spellEnd"/>
    </w:p>
    <w:p w14:paraId="77695F0A" w14:textId="11C57F17" w:rsidR="00D72708" w:rsidRDefault="00961B1E" w:rsidP="00D727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>Az öregedés hatására a szív morfológiai változásai következnek be,</w:t>
      </w:r>
      <w:r w:rsidR="00A33A29">
        <w:rPr>
          <w:rFonts w:ascii="Times New Roman" w:hAnsi="Times New Roman" w:cs="Times New Roman"/>
          <w:sz w:val="24"/>
          <w:szCs w:val="24"/>
        </w:rPr>
        <w:t xml:space="preserve"> amely az 1. ábrán jól látható.</w:t>
      </w:r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r w:rsidR="00A33A29">
        <w:rPr>
          <w:rFonts w:ascii="Times New Roman" w:hAnsi="Times New Roman" w:cs="Times New Roman"/>
          <w:sz w:val="24"/>
          <w:szCs w:val="24"/>
        </w:rPr>
        <w:t>Ezek</w:t>
      </w:r>
      <w:r w:rsidRPr="00422DC1">
        <w:rPr>
          <w:rFonts w:ascii="Times New Roman" w:hAnsi="Times New Roman" w:cs="Times New Roman"/>
          <w:sz w:val="24"/>
          <w:szCs w:val="24"/>
        </w:rPr>
        <w:t xml:space="preserve"> nem csak a szív, hanem az érrendszer funkcionális átalakulásához </w:t>
      </w:r>
      <w:r w:rsidR="00A33A29">
        <w:rPr>
          <w:rFonts w:ascii="Times New Roman" w:hAnsi="Times New Roman" w:cs="Times New Roman"/>
          <w:sz w:val="24"/>
          <w:szCs w:val="24"/>
        </w:rPr>
        <w:t xml:space="preserve">is </w:t>
      </w:r>
      <w:r w:rsidRPr="00422DC1">
        <w:rPr>
          <w:rFonts w:ascii="Times New Roman" w:hAnsi="Times New Roman" w:cs="Times New Roman"/>
          <w:sz w:val="24"/>
          <w:szCs w:val="24"/>
        </w:rPr>
        <w:t>vezet</w:t>
      </w:r>
      <w:r w:rsidR="00A33A29">
        <w:rPr>
          <w:rFonts w:ascii="Times New Roman" w:hAnsi="Times New Roman" w:cs="Times New Roman"/>
          <w:sz w:val="24"/>
          <w:szCs w:val="24"/>
        </w:rPr>
        <w:t>nek.</w:t>
      </w:r>
    </w:p>
    <w:p w14:paraId="1786D4CB" w14:textId="77777777" w:rsidR="00A33A29" w:rsidRDefault="00961B1E" w:rsidP="00D727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2708">
        <w:rPr>
          <w:rFonts w:ascii="Times New Roman" w:hAnsi="Times New Roman" w:cs="Times New Roman"/>
          <w:sz w:val="24"/>
          <w:szCs w:val="24"/>
        </w:rPr>
        <w:t xml:space="preserve">A kor előrehaladtával a bal kamra koncentrikus hipertrófiája alakul ki. Az adott szövet növekedése a szerv megnagyobbodásához vezet. Az életkorral járó bal kamrai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hypertrófia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során a falvastagság mérsékelt növekedése és a szív hosszirányú tengelyének csökkenése következtében a szerv kissé lekerekítette, gömbölyűvé válik. A jelenséget mára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echokardiográfiás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vizsgálattal és mágneses rezonanciás képalkotással sikerült bizonyítani, ám okát még egyértelműen nem tisztázták. Egyik lehetséges magyarázata a szívizomsejtek alkalmazkodása az öregedés hatására kialakult érrendszeri változás</w:t>
      </w:r>
      <w:r w:rsidR="005D2BD8" w:rsidRPr="00D72708">
        <w:rPr>
          <w:rFonts w:ascii="Times New Roman" w:hAnsi="Times New Roman" w:cs="Times New Roman"/>
          <w:sz w:val="24"/>
          <w:szCs w:val="24"/>
        </w:rPr>
        <w:t>hoz</w:t>
      </w:r>
      <w:r w:rsidRPr="00D72708">
        <w:rPr>
          <w:rFonts w:ascii="Times New Roman" w:hAnsi="Times New Roman" w:cs="Times New Roman"/>
          <w:sz w:val="24"/>
          <w:szCs w:val="24"/>
        </w:rPr>
        <w:t xml:space="preserve">. A kor előrehaladtával ugyanis a nagyartériák fala merevebbé válik, aminek következtében a vérnyomás megnő, emellett kimutatták, hogy 30 és 70 éves kor között a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myocyták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száma csaknem 35 %-kal csökken (Anversa és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mtsai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, 1990). Az imént leírt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vascularis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változás miatt nő a balkamrai terhelés, amire a megmaradó szívizomsejtek fokozott működéssel válaszolnak. A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myocytákra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ható nagyobb feszülés hatására kialakul a </w:t>
      </w:r>
      <w:bookmarkEnd w:id="0"/>
      <w:proofErr w:type="spellStart"/>
      <w:r w:rsidRPr="00D72708">
        <w:rPr>
          <w:rFonts w:ascii="Times New Roman" w:hAnsi="Times New Roman" w:cs="Times New Roman"/>
          <w:sz w:val="24"/>
          <w:szCs w:val="24"/>
        </w:rPr>
        <w:t>hypertrófia</w:t>
      </w:r>
      <w:proofErr w:type="spellEnd"/>
      <w:r w:rsidR="00A33A29">
        <w:rPr>
          <w:rFonts w:ascii="Times New Roman" w:hAnsi="Times New Roman" w:cs="Times New Roman"/>
          <w:sz w:val="24"/>
          <w:szCs w:val="24"/>
        </w:rPr>
        <w:t>.</w:t>
      </w:r>
    </w:p>
    <w:p w14:paraId="25B4F720" w14:textId="6310D34B" w:rsidR="00961B1E" w:rsidRPr="00D72708" w:rsidRDefault="00444F63" w:rsidP="00D727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2708">
        <w:rPr>
          <w:rFonts w:ascii="Times New Roman" w:hAnsi="Times New Roman" w:cs="Times New Roman"/>
          <w:sz w:val="24"/>
          <w:szCs w:val="24"/>
        </w:rPr>
        <w:br/>
        <w:t xml:space="preserve">1. ábra: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Myocardium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morfológiai változásai</w:t>
      </w:r>
    </w:p>
    <w:p w14:paraId="430B0989" w14:textId="10C97BE6" w:rsidR="00AA23F2" w:rsidRDefault="00A04DE2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B0D402" wp14:editId="178AD448">
            <wp:extent cx="5760720" cy="307467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8010" w14:textId="2F228BE5" w:rsidR="00AA23F2" w:rsidRPr="00422DC1" w:rsidRDefault="00444F63" w:rsidP="00543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Forrás: Saját ábra</w:t>
      </w:r>
      <w:r w:rsidR="00AA23F2">
        <w:rPr>
          <w:rFonts w:ascii="Times New Roman" w:hAnsi="Times New Roman" w:cs="Times New Roman"/>
          <w:sz w:val="24"/>
          <w:szCs w:val="24"/>
        </w:rPr>
        <w:br w:type="page"/>
      </w:r>
    </w:p>
    <w:p w14:paraId="2A7955AD" w14:textId="157D6AF6" w:rsidR="00961B1E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D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szív működésének megváltozása</w:t>
      </w:r>
    </w:p>
    <w:p w14:paraId="077D1D43" w14:textId="2E13018C" w:rsidR="00D72708" w:rsidRPr="00D72708" w:rsidRDefault="00D72708" w:rsidP="00D72708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B7">
        <w:rPr>
          <w:rFonts w:ascii="Times New Roman" w:hAnsi="Times New Roman" w:cs="Times New Roman"/>
          <w:sz w:val="24"/>
          <w:szCs w:val="24"/>
        </w:rPr>
        <w:t>ábra</w:t>
      </w:r>
      <w:r>
        <w:rPr>
          <w:rFonts w:ascii="Times New Roman" w:hAnsi="Times New Roman" w:cs="Times New Roman"/>
          <w:sz w:val="24"/>
          <w:szCs w:val="24"/>
        </w:rPr>
        <w:t xml:space="preserve">: Főbb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cardiovascularis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változások</w:t>
      </w:r>
    </w:p>
    <w:p w14:paraId="60FC383B" w14:textId="39D7E63F" w:rsidR="00AA23F2" w:rsidRDefault="00A04DE2" w:rsidP="00543429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FD1F0F" wp14:editId="786D9736">
            <wp:extent cx="5760720" cy="38296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D548" w14:textId="522769C2" w:rsidR="00F33FB7" w:rsidRPr="00F33FB7" w:rsidRDefault="00D72708" w:rsidP="00D72708">
      <w:pPr>
        <w:pStyle w:val="Listaszerbekezds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Forrás: Saját ábra</w:t>
      </w:r>
    </w:p>
    <w:p w14:paraId="0BD89987" w14:textId="2F249415" w:rsidR="00961B1E" w:rsidRPr="00422DC1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DC1">
        <w:rPr>
          <w:rFonts w:ascii="Times New Roman" w:hAnsi="Times New Roman" w:cs="Times New Roman"/>
          <w:b/>
          <w:bCs/>
          <w:sz w:val="24"/>
          <w:szCs w:val="24"/>
        </w:rPr>
        <w:t>Dias</w:t>
      </w:r>
      <w:r w:rsidR="005D2BD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22DC1">
        <w:rPr>
          <w:rFonts w:ascii="Times New Roman" w:hAnsi="Times New Roman" w:cs="Times New Roman"/>
          <w:b/>
          <w:bCs/>
          <w:sz w:val="24"/>
          <w:szCs w:val="24"/>
        </w:rPr>
        <w:t>tolés funkció megváltozása</w:t>
      </w:r>
    </w:p>
    <w:p w14:paraId="3CAF3DFB" w14:textId="6762DB7C" w:rsidR="00F92A0B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Az életkor előrehaladtával a bal kamrai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systolés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nyomás nem változik, ellentétben az érrendszerrel, ahol ez az érték nő az öregedéssel járó fokozott artériás merevség és az erek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tágulékonyságának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csökkenése következtében. </w:t>
      </w:r>
      <w:r w:rsidR="00CA1082">
        <w:rPr>
          <w:rFonts w:ascii="Times New Roman" w:hAnsi="Times New Roman" w:cs="Times New Roman"/>
          <w:sz w:val="24"/>
          <w:szCs w:val="24"/>
        </w:rPr>
        <w:t xml:space="preserve">A 2. ábrán ezen változások és későbbi folyományaik láthatók. </w:t>
      </w:r>
    </w:p>
    <w:p w14:paraId="0D243818" w14:textId="078EDBE0" w:rsidR="00F92A0B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A Doppler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echokardiográfiás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vizsgálat egy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noninvazív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módja a kamrai dias</w:t>
      </w:r>
      <w:r w:rsidR="005D2BD8">
        <w:rPr>
          <w:rFonts w:ascii="Times New Roman" w:hAnsi="Times New Roman" w:cs="Times New Roman"/>
          <w:sz w:val="24"/>
          <w:szCs w:val="24"/>
        </w:rPr>
        <w:t>z</w:t>
      </w:r>
      <w:r w:rsidRPr="00422DC1">
        <w:rPr>
          <w:rFonts w:ascii="Times New Roman" w:hAnsi="Times New Roman" w:cs="Times New Roman"/>
          <w:sz w:val="24"/>
          <w:szCs w:val="24"/>
        </w:rPr>
        <w:t>tolés funkció mérésének, amely során képesek vizsgálni az átfolyó vér mennyiségét a bal pitvarból a bal kamrába. A mérések kimutatták, hogy a korai diasztolés funkció, ami a kamrák aktív tágulás</w:t>
      </w:r>
      <w:r w:rsidR="005D2BD8">
        <w:rPr>
          <w:rFonts w:ascii="Times New Roman" w:hAnsi="Times New Roman" w:cs="Times New Roman"/>
          <w:sz w:val="24"/>
          <w:szCs w:val="24"/>
        </w:rPr>
        <w:t>át jelenti</w:t>
      </w:r>
      <w:r w:rsidRPr="00422DC1">
        <w:rPr>
          <w:rFonts w:ascii="Times New Roman" w:hAnsi="Times New Roman" w:cs="Times New Roman"/>
          <w:sz w:val="24"/>
          <w:szCs w:val="24"/>
        </w:rPr>
        <w:t xml:space="preserve">, a korral csökken, míg a késői diasztolés funkció, tehát a pitvari összehúzódás mértéke nő. Ennek oka, hogy </w:t>
      </w:r>
      <w:r w:rsidR="005D2BD8">
        <w:rPr>
          <w:rFonts w:ascii="Times New Roman" w:hAnsi="Times New Roman" w:cs="Times New Roman"/>
          <w:sz w:val="24"/>
          <w:szCs w:val="24"/>
        </w:rPr>
        <w:t xml:space="preserve">a </w:t>
      </w:r>
      <w:r w:rsidRPr="00422DC1">
        <w:rPr>
          <w:rFonts w:ascii="Times New Roman" w:hAnsi="Times New Roman" w:cs="Times New Roman"/>
          <w:sz w:val="24"/>
          <w:szCs w:val="24"/>
        </w:rPr>
        <w:t xml:space="preserve">kamrai szövetben öregedés során felhalmozódik az extracelluláris mátrix, a szövet elpusztul és kötőszövet veszi át a helyét. Ezt a folyamatot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myocardiális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fibrosisnak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nevezzük. Másik magyarázat egy patkányokon vizsgált molekuláris változás, mégpedig, hogy 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sarcoplasmás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reticulumban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(SR) található Ca</w:t>
      </w:r>
      <w:r w:rsidRPr="00422DC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22DC1">
        <w:rPr>
          <w:rFonts w:ascii="Times New Roman" w:hAnsi="Times New Roman" w:cs="Times New Roman"/>
          <w:sz w:val="24"/>
          <w:szCs w:val="24"/>
        </w:rPr>
        <w:t xml:space="preserve"> ATP-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áz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pumpa mennyisége és aktivitása csökken az életkorral, ezen pumpa felelős az SR-be történő kalcium-ion visszavételére a relaxáció idején. A megváltozott ütemű Ca</w:t>
      </w:r>
      <w:r w:rsidRPr="00422DC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22DC1">
        <w:rPr>
          <w:rFonts w:ascii="Times New Roman" w:hAnsi="Times New Roman" w:cs="Times New Roman"/>
          <w:sz w:val="24"/>
          <w:szCs w:val="24"/>
        </w:rPr>
        <w:t xml:space="preserve"> visszavétel hatására az öregedés során meghosszabbodik a szív kontrakciója és megrövidül </w:t>
      </w:r>
      <w:r w:rsidR="005D2BD8">
        <w:rPr>
          <w:rFonts w:ascii="Times New Roman" w:hAnsi="Times New Roman" w:cs="Times New Roman"/>
          <w:sz w:val="24"/>
          <w:szCs w:val="24"/>
        </w:rPr>
        <w:t>a</w:t>
      </w:r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myocardium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relaxációja (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Narayanan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, 1998)</w:t>
      </w:r>
      <w:r w:rsidR="00C60261">
        <w:rPr>
          <w:rFonts w:ascii="Times New Roman" w:hAnsi="Times New Roman" w:cs="Times New Roman"/>
          <w:sz w:val="24"/>
          <w:szCs w:val="24"/>
        </w:rPr>
        <w:t>.</w:t>
      </w:r>
      <w:r w:rsidRPr="00422D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F86950E" w14:textId="2E54C646" w:rsidR="00961B1E" w:rsidRPr="00422DC1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Ezek hatására csökken a kamra funkciója, amit a pitvar ellensúlyozni próbál, </w:t>
      </w:r>
      <w:r w:rsidR="005D2BD8">
        <w:rPr>
          <w:rFonts w:ascii="Times New Roman" w:hAnsi="Times New Roman" w:cs="Times New Roman"/>
          <w:sz w:val="24"/>
          <w:szCs w:val="24"/>
        </w:rPr>
        <w:t>emiatt</w:t>
      </w:r>
      <w:r w:rsidRPr="00422DC1">
        <w:rPr>
          <w:rFonts w:ascii="Times New Roman" w:hAnsi="Times New Roman" w:cs="Times New Roman"/>
          <w:sz w:val="24"/>
          <w:szCs w:val="24"/>
        </w:rPr>
        <w:t xml:space="preserve"> alakul ki a késői diasztolés funkció megnövekedése.</w:t>
      </w:r>
    </w:p>
    <w:p w14:paraId="04BED8D8" w14:textId="77777777" w:rsidR="00FF0C38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b/>
          <w:bCs/>
          <w:sz w:val="24"/>
          <w:szCs w:val="24"/>
        </w:rPr>
        <w:t xml:space="preserve">A kamrai </w:t>
      </w:r>
      <w:proofErr w:type="spellStart"/>
      <w:r w:rsidRPr="00422DC1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422DC1">
        <w:rPr>
          <w:rFonts w:ascii="Times New Roman" w:hAnsi="Times New Roman" w:cs="Times New Roman"/>
          <w:b/>
          <w:bCs/>
          <w:sz w:val="24"/>
          <w:szCs w:val="24"/>
        </w:rPr>
        <w:t xml:space="preserve"> változása</w:t>
      </w:r>
    </w:p>
    <w:p w14:paraId="7B576B71" w14:textId="390846F3" w:rsidR="00F92A0B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A diasztolés funkció változásához hozzájárul 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csökkenése, aminek oka 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myociták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elöregedése, ezáltal számuk fogyatkozása (</w:t>
      </w:r>
      <w:proofErr w:type="spellStart"/>
      <w:r w:rsidR="000C0A60">
        <w:rPr>
          <w:rFonts w:ascii="Times New Roman" w:hAnsi="Times New Roman" w:cs="Times New Roman"/>
          <w:sz w:val="24"/>
          <w:szCs w:val="24"/>
        </w:rPr>
        <w:t>Lakatta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, 2003), a megmaradó szívizomsejtek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hypertófiája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, </w:t>
      </w:r>
      <w:r w:rsidRPr="00422DC1">
        <w:rPr>
          <w:rFonts w:ascii="Times New Roman" w:hAnsi="Times New Roman" w:cs="Times New Roman"/>
          <w:sz w:val="24"/>
          <w:szCs w:val="24"/>
        </w:rPr>
        <w:lastRenderedPageBreak/>
        <w:t xml:space="preserve">valamint az aránytalan kollagén-átrendeződés a bal kamra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interstíciumában</w:t>
      </w:r>
      <w:proofErr w:type="spellEnd"/>
      <w:r w:rsidR="00C60261">
        <w:rPr>
          <w:rFonts w:ascii="Times New Roman" w:hAnsi="Times New Roman" w:cs="Times New Roman"/>
          <w:sz w:val="24"/>
          <w:szCs w:val="24"/>
        </w:rPr>
        <w:t xml:space="preserve"> </w:t>
      </w:r>
      <w:r w:rsidRPr="00422DC1">
        <w:rPr>
          <w:rFonts w:ascii="Times New Roman" w:hAnsi="Times New Roman" w:cs="Times New Roman"/>
          <w:sz w:val="24"/>
          <w:szCs w:val="24"/>
        </w:rPr>
        <w:t>(</w:t>
      </w:r>
      <w:r w:rsidR="00B14F1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Souza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, 2002)</w:t>
      </w:r>
      <w:r w:rsidR="00C60261">
        <w:rPr>
          <w:rFonts w:ascii="Times New Roman" w:hAnsi="Times New Roman" w:cs="Times New Roman"/>
          <w:sz w:val="24"/>
          <w:szCs w:val="24"/>
        </w:rPr>
        <w:t>.</w:t>
      </w:r>
      <w:r w:rsidRPr="00422DC1">
        <w:rPr>
          <w:rFonts w:ascii="Times New Roman" w:hAnsi="Times New Roman" w:cs="Times New Roman"/>
          <w:sz w:val="24"/>
          <w:szCs w:val="24"/>
        </w:rPr>
        <w:br/>
        <w:t xml:space="preserve">A kamrafal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tágulékonysága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(ΔV/ΔP,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) a diasztolés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telődés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alatti kamrai nyomás és a beáramló vér térfogatától függ.</w:t>
      </w:r>
    </w:p>
    <w:p w14:paraId="3910F8BA" w14:textId="4913805C" w:rsidR="00961B1E" w:rsidRPr="00422DC1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A megnövekedett mennyiségű kollagén rostok és az elöregedett szívizomsejtek hatására </w:t>
      </w:r>
      <w:r w:rsidR="00C60261">
        <w:rPr>
          <w:rFonts w:ascii="Times New Roman" w:hAnsi="Times New Roman" w:cs="Times New Roman"/>
          <w:sz w:val="24"/>
          <w:szCs w:val="24"/>
        </w:rPr>
        <w:t xml:space="preserve">a </w:t>
      </w:r>
      <w:r w:rsidRPr="00422DC1">
        <w:rPr>
          <w:rFonts w:ascii="Times New Roman" w:hAnsi="Times New Roman" w:cs="Times New Roman"/>
          <w:sz w:val="24"/>
          <w:szCs w:val="24"/>
        </w:rPr>
        <w:t>vég diasztolés térfogat</w:t>
      </w:r>
      <w:r w:rsidR="00C60261">
        <w:rPr>
          <w:rFonts w:ascii="Times New Roman" w:hAnsi="Times New Roman" w:cs="Times New Roman"/>
          <w:sz w:val="24"/>
          <w:szCs w:val="24"/>
        </w:rPr>
        <w:t xml:space="preserve"> (EDV)</w:t>
      </w:r>
      <w:r w:rsidRPr="00422DC1">
        <w:rPr>
          <w:rFonts w:ascii="Times New Roman" w:hAnsi="Times New Roman" w:cs="Times New Roman"/>
          <w:sz w:val="24"/>
          <w:szCs w:val="24"/>
        </w:rPr>
        <w:t xml:space="preserve"> csökken, amit ugyanakkora vég diasztolés nyomás</w:t>
      </w:r>
      <w:r w:rsidR="00C60261">
        <w:rPr>
          <w:rFonts w:ascii="Times New Roman" w:hAnsi="Times New Roman" w:cs="Times New Roman"/>
          <w:sz w:val="24"/>
          <w:szCs w:val="24"/>
        </w:rPr>
        <w:t xml:space="preserve"> (EDVP)</w:t>
      </w:r>
      <w:r w:rsidRPr="00422DC1">
        <w:rPr>
          <w:rFonts w:ascii="Times New Roman" w:hAnsi="Times New Roman" w:cs="Times New Roman"/>
          <w:sz w:val="24"/>
          <w:szCs w:val="24"/>
        </w:rPr>
        <w:t xml:space="preserve"> nem képes azonos mértékűre tágítani, ezért az EDVP jelentősen megnövekszik. </w:t>
      </w:r>
    </w:p>
    <w:p w14:paraId="3C8E7992" w14:textId="77777777" w:rsidR="00FF0C38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DC1">
        <w:rPr>
          <w:rFonts w:ascii="Times New Roman" w:hAnsi="Times New Roman" w:cs="Times New Roman"/>
          <w:b/>
          <w:bCs/>
          <w:sz w:val="24"/>
          <w:szCs w:val="24"/>
        </w:rPr>
        <w:t>A szívfrekvencia változása</w:t>
      </w:r>
    </w:p>
    <w:p w14:paraId="60EE04A5" w14:textId="206FFA38" w:rsidR="00961B1E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 xml:space="preserve">A nyugalmi szívfrekvencia fiatal és idős korban nem tér el lényegesen. Ezzel szemben a maximális szívfrekvencia az öregedéssel csökken, amit a szív életkorral gyengülő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chronotrop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adrenerg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válaszának, és a sinuscsomó csökkenő frekvenciájának tulajdonítanak. A jelenség bizonyítása során 15 idős (65 ± 5 éves) és 15 fiatal (25 ± 4 éves) egészséges férfit vizsgáltak edzés közben, futópadon végzett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Balke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protokoll alapján. A sinuscsomóban található pacemaker sejtek idegi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stimulustól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függetlenül</w:t>
      </w:r>
      <w:r w:rsidR="00F26587">
        <w:rPr>
          <w:rFonts w:ascii="Times New Roman" w:hAnsi="Times New Roman" w:cs="Times New Roman"/>
          <w:sz w:val="24"/>
          <w:szCs w:val="24"/>
        </w:rPr>
        <w:t xml:space="preserve"> is</w:t>
      </w:r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r w:rsidR="00F26587">
        <w:rPr>
          <w:rFonts w:ascii="Times New Roman" w:hAnsi="Times New Roman" w:cs="Times New Roman"/>
          <w:sz w:val="24"/>
          <w:szCs w:val="24"/>
        </w:rPr>
        <w:t>funkcionálnak</w:t>
      </w:r>
      <w:r w:rsidRPr="00422DC1">
        <w:rPr>
          <w:rFonts w:ascii="Times New Roman" w:hAnsi="Times New Roman" w:cs="Times New Roman"/>
          <w:sz w:val="24"/>
          <w:szCs w:val="24"/>
        </w:rPr>
        <w:t xml:space="preserve">, ezért annak működését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ganglion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-blokkoló beadásának hatására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monitorozták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. A szívizomsejtek </w:t>
      </w:r>
      <w:bookmarkStart w:id="1" w:name="_Hlk69969101"/>
      <w:r w:rsidRPr="00422DC1">
        <w:rPr>
          <w:rFonts w:ascii="Times New Roman" w:hAnsi="Times New Roman" w:cs="Times New Roman"/>
          <w:sz w:val="24"/>
          <w:szCs w:val="24"/>
        </w:rPr>
        <w:t>β-</w:t>
      </w:r>
      <w:bookmarkEnd w:id="1"/>
      <w:proofErr w:type="spellStart"/>
      <w:r w:rsidRPr="00422DC1">
        <w:rPr>
          <w:rFonts w:ascii="Times New Roman" w:hAnsi="Times New Roman" w:cs="Times New Roman"/>
          <w:sz w:val="24"/>
          <w:szCs w:val="24"/>
        </w:rPr>
        <w:t>adrenerg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válaszát pedig pozitív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chronotrop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hatással bíró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isoproterenol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adással vizsgálják. Intravénásan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ganglionbénító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trimetaphan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) adagolására, majd β</w:t>
      </w:r>
      <w:r w:rsidRPr="00422D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22DC1">
        <w:rPr>
          <w:rFonts w:ascii="Times New Roman" w:hAnsi="Times New Roman" w:cs="Times New Roman"/>
          <w:sz w:val="24"/>
          <w:szCs w:val="24"/>
        </w:rPr>
        <w:t>- és β</w:t>
      </w:r>
      <w:r w:rsidRPr="00422D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DC1">
        <w:rPr>
          <w:rFonts w:ascii="Times New Roman" w:hAnsi="Times New Roman" w:cs="Times New Roman"/>
          <w:sz w:val="24"/>
          <w:szCs w:val="24"/>
        </w:rPr>
        <w:t>-receptor-izgató (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isoproterenol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) adás hatására mérhető maximális szívfrekvencia változás a</w:t>
      </w:r>
      <w:r w:rsidR="00C60261">
        <w:rPr>
          <w:rFonts w:ascii="Times New Roman" w:hAnsi="Times New Roman" w:cs="Times New Roman"/>
          <w:sz w:val="24"/>
          <w:szCs w:val="24"/>
        </w:rPr>
        <w:t xml:space="preserve"> 3. ábrán</w:t>
      </w:r>
      <w:r w:rsidRPr="00422DC1">
        <w:rPr>
          <w:rFonts w:ascii="Times New Roman" w:hAnsi="Times New Roman" w:cs="Times New Roman"/>
          <w:sz w:val="24"/>
          <w:szCs w:val="24"/>
        </w:rPr>
        <w:t xml:space="preserve"> látható (</w:t>
      </w:r>
      <w:proofErr w:type="spellStart"/>
      <w:r w:rsidR="00B14F16">
        <w:rPr>
          <w:rFonts w:ascii="Times New Roman" w:hAnsi="Times New Roman" w:cs="Times New Roman"/>
          <w:sz w:val="24"/>
          <w:szCs w:val="24"/>
        </w:rPr>
        <w:t>Christou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mtsai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, 2008)</w:t>
      </w:r>
      <w:r w:rsidR="00444F63">
        <w:rPr>
          <w:rFonts w:ascii="Times New Roman" w:hAnsi="Times New Roman" w:cs="Times New Roman"/>
          <w:sz w:val="24"/>
          <w:szCs w:val="24"/>
        </w:rPr>
        <w:t>.</w:t>
      </w:r>
    </w:p>
    <w:p w14:paraId="02DF0C4A" w14:textId="583A7E9D" w:rsidR="00D72708" w:rsidRPr="00D72708" w:rsidRDefault="00D72708" w:rsidP="00D72708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08">
        <w:rPr>
          <w:rFonts w:ascii="Times New Roman" w:hAnsi="Times New Roman" w:cs="Times New Roman"/>
          <w:sz w:val="24"/>
          <w:szCs w:val="24"/>
        </w:rPr>
        <w:t>ábra: Maximális szívfrekvencia változása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3579"/>
        <w:gridCol w:w="2486"/>
        <w:gridCol w:w="2697"/>
      </w:tblGrid>
      <w:tr w:rsidR="00961B1E" w:rsidRPr="00422DC1" w14:paraId="4E631252" w14:textId="77777777" w:rsidTr="00983784">
        <w:trPr>
          <w:trHeight w:val="209"/>
        </w:trPr>
        <w:tc>
          <w:tcPr>
            <w:tcW w:w="2945" w:type="dxa"/>
          </w:tcPr>
          <w:p w14:paraId="26350DA0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5C588B3D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</w:t>
            </w:r>
          </w:p>
        </w:tc>
        <w:tc>
          <w:tcPr>
            <w:tcW w:w="2697" w:type="dxa"/>
          </w:tcPr>
          <w:p w14:paraId="4BE29460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idős</w:t>
            </w:r>
          </w:p>
        </w:tc>
      </w:tr>
      <w:tr w:rsidR="00961B1E" w:rsidRPr="00422DC1" w14:paraId="0CCB6D71" w14:textId="77777777" w:rsidTr="00983784">
        <w:trPr>
          <w:trHeight w:val="640"/>
        </w:trPr>
        <w:tc>
          <w:tcPr>
            <w:tcW w:w="2945" w:type="dxa"/>
          </w:tcPr>
          <w:p w14:paraId="49C2BFC3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sinuscsomó </w:t>
            </w:r>
            <w:proofErr w:type="spellStart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intrinsic</w:t>
            </w:r>
            <w:proofErr w:type="spellEnd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pacemaker frekvenciája</w:t>
            </w:r>
          </w:p>
          <w:p w14:paraId="4F436BDD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(ütés/perc)</w:t>
            </w:r>
          </w:p>
        </w:tc>
        <w:tc>
          <w:tcPr>
            <w:tcW w:w="2486" w:type="dxa"/>
          </w:tcPr>
          <w:p w14:paraId="688DD6D3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± 9</w:t>
            </w:r>
          </w:p>
        </w:tc>
        <w:tc>
          <w:tcPr>
            <w:tcW w:w="2697" w:type="dxa"/>
          </w:tcPr>
          <w:p w14:paraId="247738D1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± 7</w:t>
            </w:r>
          </w:p>
        </w:tc>
      </w:tr>
      <w:tr w:rsidR="00961B1E" w:rsidRPr="00422DC1" w14:paraId="24FD693B" w14:textId="77777777" w:rsidTr="00983784">
        <w:trPr>
          <w:trHeight w:val="616"/>
        </w:trPr>
        <w:tc>
          <w:tcPr>
            <w:tcW w:w="2945" w:type="dxa"/>
          </w:tcPr>
          <w:p w14:paraId="73322E69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chronotrop</w:t>
            </w:r>
            <w:proofErr w:type="spellEnd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beta-adrenerg</w:t>
            </w:r>
            <w:proofErr w:type="spellEnd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érzékenység</w:t>
            </w:r>
          </w:p>
          <w:p w14:paraId="672B7258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Δszívfrekvencia</w:t>
            </w:r>
            <w:proofErr w:type="spellEnd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/[</w:t>
            </w:r>
            <w:proofErr w:type="spellStart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isoproterenol</w:t>
            </w:r>
            <w:proofErr w:type="spellEnd"/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2486" w:type="dxa"/>
          </w:tcPr>
          <w:p w14:paraId="08CE9215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0.154 ± 0.045</w:t>
            </w:r>
          </w:p>
        </w:tc>
        <w:tc>
          <w:tcPr>
            <w:tcW w:w="2697" w:type="dxa"/>
          </w:tcPr>
          <w:p w14:paraId="77C6E99F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0.094 ± 0.036</w:t>
            </w:r>
          </w:p>
        </w:tc>
      </w:tr>
      <w:tr w:rsidR="00961B1E" w:rsidRPr="00422DC1" w14:paraId="24AB1611" w14:textId="77777777" w:rsidTr="00983784">
        <w:trPr>
          <w:trHeight w:val="514"/>
        </w:trPr>
        <w:tc>
          <w:tcPr>
            <w:tcW w:w="2945" w:type="dxa"/>
          </w:tcPr>
          <w:p w14:paraId="28BAC8A3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maximális szívfrekvencia (ütés/perc)</w:t>
            </w:r>
          </w:p>
        </w:tc>
        <w:tc>
          <w:tcPr>
            <w:tcW w:w="2486" w:type="dxa"/>
          </w:tcPr>
          <w:p w14:paraId="20AFE4A4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191 ± 11 </w:t>
            </w:r>
          </w:p>
        </w:tc>
        <w:tc>
          <w:tcPr>
            <w:tcW w:w="2697" w:type="dxa"/>
          </w:tcPr>
          <w:p w14:paraId="16E32FBD" w14:textId="77777777" w:rsidR="00961B1E" w:rsidRPr="00422DC1" w:rsidRDefault="00961B1E" w:rsidP="00543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  <w:r w:rsidRPr="0042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9 </w:t>
            </w:r>
          </w:p>
        </w:tc>
      </w:tr>
    </w:tbl>
    <w:p w14:paraId="4449AC3A" w14:textId="76475770" w:rsidR="00D72708" w:rsidRDefault="00D72708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Forrás: Saját ábra</w:t>
      </w:r>
    </w:p>
    <w:p w14:paraId="527A4AB0" w14:textId="560CCE0D" w:rsidR="00961B1E" w:rsidRPr="00422DC1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DC1">
        <w:rPr>
          <w:rFonts w:ascii="Times New Roman" w:hAnsi="Times New Roman" w:cs="Times New Roman"/>
          <w:sz w:val="24"/>
          <w:szCs w:val="24"/>
        </w:rPr>
        <w:t>Ha</w:t>
      </w:r>
      <w:r w:rsidR="00B14F16">
        <w:rPr>
          <w:rFonts w:ascii="Times New Roman" w:hAnsi="Times New Roman" w:cs="Times New Roman"/>
          <w:sz w:val="24"/>
          <w:szCs w:val="24"/>
        </w:rPr>
        <w:t>qqani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mtsai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(2007) kimutatták, hogy a sinuscsomó funkcionális változásának egyik lehetséges oka a pitvar relatív kollagén mennyiségének növekedése az idősödés során. A jelenség egy másik </w:t>
      </w:r>
      <w:r w:rsidR="00F26587">
        <w:rPr>
          <w:rFonts w:ascii="Times New Roman" w:hAnsi="Times New Roman" w:cs="Times New Roman"/>
          <w:sz w:val="24"/>
          <w:szCs w:val="24"/>
        </w:rPr>
        <w:t>valószínűsíthető</w:t>
      </w:r>
      <w:r w:rsidRPr="00422DC1">
        <w:rPr>
          <w:rFonts w:ascii="Times New Roman" w:hAnsi="Times New Roman" w:cs="Times New Roman"/>
          <w:sz w:val="24"/>
          <w:szCs w:val="24"/>
        </w:rPr>
        <w:t xml:space="preserve"> molekuláris magyarázata, hogy az öregedéssel csökken a pacemaker sejtekben egy kalcium csatorna Ca</w:t>
      </w:r>
      <w:r w:rsidRPr="00422DC1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422DC1">
        <w:rPr>
          <w:rFonts w:ascii="Times New Roman" w:hAnsi="Times New Roman" w:cs="Times New Roman"/>
          <w:sz w:val="24"/>
          <w:szCs w:val="24"/>
        </w:rPr>
        <w:t>1.2 alegységének mennyisége, aminek hatására gyengül a depolarizáció mértéke, ezáltal a sinuscsomóban csökken az esély az akciós potenciál kialakulására és terjedésére</w:t>
      </w:r>
      <w:r w:rsidR="00C60261">
        <w:rPr>
          <w:rFonts w:ascii="Times New Roman" w:hAnsi="Times New Roman" w:cs="Times New Roman"/>
          <w:sz w:val="24"/>
          <w:szCs w:val="24"/>
        </w:rPr>
        <w:t xml:space="preserve"> </w:t>
      </w:r>
      <w:r w:rsidRPr="00422DC1">
        <w:rPr>
          <w:rFonts w:ascii="Times New Roman" w:hAnsi="Times New Roman" w:cs="Times New Roman"/>
          <w:sz w:val="24"/>
          <w:szCs w:val="24"/>
        </w:rPr>
        <w:t>(</w:t>
      </w:r>
      <w:r w:rsidR="000C0A60">
        <w:rPr>
          <w:rFonts w:ascii="Times New Roman" w:hAnsi="Times New Roman" w:cs="Times New Roman"/>
          <w:sz w:val="24"/>
          <w:szCs w:val="24"/>
        </w:rPr>
        <w:t>Jones</w:t>
      </w:r>
      <w:r w:rsidRPr="00422DC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mtsai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, 2007)</w:t>
      </w:r>
      <w:r w:rsidR="00C60261">
        <w:rPr>
          <w:rFonts w:ascii="Times New Roman" w:hAnsi="Times New Roman" w:cs="Times New Roman"/>
          <w:sz w:val="24"/>
          <w:szCs w:val="24"/>
        </w:rPr>
        <w:t>.</w:t>
      </w:r>
    </w:p>
    <w:p w14:paraId="38902AD6" w14:textId="414AD9BF" w:rsidR="00961B1E" w:rsidRDefault="00961B1E" w:rsidP="0054342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2DC1">
        <w:rPr>
          <w:rFonts w:ascii="Times New Roman" w:hAnsi="Times New Roman" w:cs="Times New Roman"/>
          <w:sz w:val="24"/>
          <w:szCs w:val="24"/>
        </w:rPr>
        <w:t>A</w:t>
      </w:r>
      <w:r w:rsidRPr="00422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DC1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adrenerg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válasz időskori csökkenésére, tehát a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receptordeszenzitációra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több magyarázat született. White és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mtsai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(1994) számos biokémiai vizsgálattal kimutatták, hogy a jelensége okai a következők lehetnek: az öregedés során egyrészt kialakul a β-1 receptorok downregulációja, valamint jelentkezik a G-protein kapcsolt β-2 receptorok „szétkapcsolása” (agonistakötődés és effektorrendszer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uncoupling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>-ja), aminek oka lehet a receptorok kevésbé hatékony kapcsolódása a serkentő G-protein-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, vagy a gátló G-fehérje túlzott aktivitása, esetleg az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adenil-cikláz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</w:t>
      </w:r>
      <w:r w:rsidR="00F26587">
        <w:rPr>
          <w:rFonts w:ascii="Times New Roman" w:hAnsi="Times New Roman" w:cs="Times New Roman"/>
          <w:sz w:val="24"/>
          <w:szCs w:val="24"/>
        </w:rPr>
        <w:t>csökkenő</w:t>
      </w:r>
      <w:r w:rsidRPr="00422DC1">
        <w:rPr>
          <w:rFonts w:ascii="Times New Roman" w:hAnsi="Times New Roman" w:cs="Times New Roman"/>
          <w:sz w:val="24"/>
          <w:szCs w:val="24"/>
        </w:rPr>
        <w:t xml:space="preserve"> katalitikus aktivitása, összességében tehát a jelenségért G-protein függő </w:t>
      </w:r>
      <w:proofErr w:type="spellStart"/>
      <w:r w:rsidRPr="00422DC1">
        <w:rPr>
          <w:rFonts w:ascii="Times New Roman" w:hAnsi="Times New Roman" w:cs="Times New Roman"/>
          <w:sz w:val="24"/>
          <w:szCs w:val="24"/>
        </w:rPr>
        <w:t>transzdukció</w:t>
      </w:r>
      <w:proofErr w:type="spellEnd"/>
      <w:r w:rsidRPr="00422DC1">
        <w:rPr>
          <w:rFonts w:ascii="Times New Roman" w:hAnsi="Times New Roman" w:cs="Times New Roman"/>
          <w:sz w:val="24"/>
          <w:szCs w:val="24"/>
        </w:rPr>
        <w:t xml:space="preserve"> megváltozása is felelős</w:t>
      </w:r>
      <w:r w:rsidR="00814ACA">
        <w:rPr>
          <w:rFonts w:ascii="Times New Roman" w:hAnsi="Times New Roman" w:cs="Times New Roman"/>
          <w:sz w:val="24"/>
          <w:szCs w:val="24"/>
        </w:rPr>
        <w:t>.</w:t>
      </w:r>
    </w:p>
    <w:p w14:paraId="55F628D4" w14:textId="5F893F6E" w:rsidR="00814ACA" w:rsidRDefault="00814ACA" w:rsidP="00543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B4BD5D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Artériák </w:t>
      </w:r>
      <w:proofErr w:type="spellStart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tágulékonyságának</w:t>
      </w:r>
      <w:proofErr w:type="spellEnd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csökkenése és merevebbé válása</w:t>
      </w:r>
    </w:p>
    <w:p w14:paraId="0EBF14F7" w14:textId="77777777" w:rsidR="00D72708" w:rsidRPr="00814ACA" w:rsidRDefault="00D72708" w:rsidP="00D7270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14A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>ábra: Strukturális és funkcionális változások az artériákban</w:t>
      </w:r>
    </w:p>
    <w:p w14:paraId="0D3393F0" w14:textId="77777777" w:rsidR="00D72708" w:rsidRDefault="00D72708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16656" w14:textId="02E47866" w:rsidR="00814ACA" w:rsidRPr="00814ACA" w:rsidRDefault="00565C1F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2EA095" wp14:editId="078F2844">
            <wp:extent cx="5760720" cy="393001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708">
        <w:rPr>
          <w:rFonts w:ascii="Times New Roman" w:eastAsia="Calibri" w:hAnsi="Times New Roman" w:cs="Times New Roman"/>
          <w:sz w:val="24"/>
          <w:szCs w:val="24"/>
        </w:rPr>
        <w:t>Forrás: Saját ábra</w:t>
      </w:r>
    </w:p>
    <w:p w14:paraId="57777440" w14:textId="6CF5B2B3" w:rsidR="00543429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Fiziológiás esetben, a fiatal szervezetben az artériák fala képlékeny, jó alkalmazkodóképességgel rendelkezik, térfogata a nyomás függvényében könnyen módosul. Az évek múlásával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tágulékonysági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képesség, főként az elasztikus artériákban, jelentősen lecsökken. A</w:t>
      </w:r>
      <w:r w:rsidR="00553E24">
        <w:rPr>
          <w:rFonts w:ascii="Times New Roman" w:eastAsia="Calibri" w:hAnsi="Times New Roman" w:cs="Times New Roman"/>
          <w:sz w:val="24"/>
          <w:szCs w:val="24"/>
        </w:rPr>
        <w:t xml:space="preserve"> 4. ábrán látható, hogy a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érfal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térfogata, annak merevsége miatt, nehezen tud a nyomásviszonyoknak megfelelően alakulni, az esetleges változásokhoz kevésbé idomul. Ennek molekuláris háttere, hogy az erek öregedése során csökken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elasztin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nő a kollagén (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O’Rourke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Hashimoto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, 2007), valamint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proteoglikánok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szintje az artériák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intimájában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compliance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folyamatosan romlik, melyhez </w:t>
      </w:r>
      <w:r w:rsidR="00700F4D">
        <w:rPr>
          <w:rFonts w:ascii="Times New Roman" w:eastAsia="Calibri" w:hAnsi="Times New Roman" w:cs="Times New Roman"/>
          <w:sz w:val="24"/>
          <w:szCs w:val="24"/>
        </w:rPr>
        <w:t>k</w:t>
      </w:r>
      <w:r w:rsidRPr="00814ACA">
        <w:rPr>
          <w:rFonts w:ascii="Times New Roman" w:eastAsia="Calibri" w:hAnsi="Times New Roman" w:cs="Times New Roman"/>
          <w:sz w:val="24"/>
          <w:szCs w:val="24"/>
        </w:rPr>
        <w:t>alcium, foszfor és más ásványi anyagok beépülése is hozzájárul (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Watanabe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, 1996;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Cattell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1996)</w:t>
      </w:r>
      <w:r w:rsidR="00C602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527548" w14:textId="533FDD26" w:rsidR="00543429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Az érhálózat centrálisan és perifériásan különböző típusú artériákból áll.  Az öregedés más-más ütemben hat rájuk attól függően, hogy elasztikus,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elasto-muscularis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vagy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típusúak. A folyamat legerősebben a centrálisan elhelyezkedő elasztikus artériákat befolyásolja, a perifériás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elasto-muscularis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erek kevésbé érintettek. A centrális artériák fiatal korban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tágulékonyabbak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rugalmasabbak, mint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perifériásak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. Az idő múlásával ez éppen fordítva lesz igaz rájuk. Az idős kor egyik legfőbb jellemzője, hogy a centrális artériák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elongálódnak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faluk merevvé válik, ezzel együtt jelentősen, akár háromszorosára is megvastagodik, a lumen dilatációja lép fel</w:t>
      </w:r>
      <w:r w:rsidR="00C60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61" w:rsidRPr="00814AC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60261" w:rsidRPr="00814ACA">
        <w:rPr>
          <w:rFonts w:ascii="Times New Roman" w:eastAsia="Calibri" w:hAnsi="Times New Roman" w:cs="Times New Roman"/>
          <w:sz w:val="24"/>
          <w:szCs w:val="24"/>
        </w:rPr>
        <w:t>O’Leary</w:t>
      </w:r>
      <w:proofErr w:type="spellEnd"/>
      <w:r w:rsidR="00C60261"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="00C60261"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="00C60261" w:rsidRPr="00814ACA">
        <w:rPr>
          <w:rFonts w:ascii="Times New Roman" w:eastAsia="Calibri" w:hAnsi="Times New Roman" w:cs="Times New Roman"/>
          <w:sz w:val="24"/>
          <w:szCs w:val="24"/>
        </w:rPr>
        <w:t>, 1999)</w:t>
      </w:r>
      <w:r w:rsidRPr="00814ACA">
        <w:rPr>
          <w:rFonts w:ascii="Times New Roman" w:eastAsia="Calibri" w:hAnsi="Times New Roman" w:cs="Times New Roman"/>
          <w:sz w:val="24"/>
          <w:szCs w:val="24"/>
        </w:rPr>
        <w:t>. E jelenségeket legjobban az aortánál figyelhetjük meg.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Ezen hatásokhoz még hozzájárul, hogy az évek előrehaladtával bizonyos anyagok, például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angiotenzin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II vagy az endothelin-1 mennyisége megnő az érfalban, melyek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vazokonstriktor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tulajdonságukat így egyre erősebben tudják kifejteni. Az ezekkel ellentétes,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vazodilatátor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hatású ösztrogén vagy nitrogén-monoxid mértéke viszont </w:t>
      </w:r>
      <w:r w:rsidRPr="00814ACA">
        <w:rPr>
          <w:rFonts w:ascii="Times New Roman" w:eastAsia="Calibri" w:hAnsi="Times New Roman" w:cs="Times New Roman"/>
          <w:sz w:val="24"/>
          <w:szCs w:val="24"/>
        </w:rPr>
        <w:lastRenderedPageBreak/>
        <w:t>számottevően lecsökken.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Az erek merevsége nemenként is eltérően jelentkezik. Már fiatal korban is kevésbé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tágulékonyak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nőkben, mint férfiakban, ez a különbség pedig drámaian megnövekszik a menopauza után (Rossi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2011)</w:t>
      </w:r>
      <w:r w:rsidR="00C602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2BD66D" w14:textId="3B92EB1C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Fenti tényezők nagy klinikai jelentőséggel bírnak, mivel megjelenésük a szervezetben érrendszeri betegségekhez vezethet, így ezeknek különböző vizsgálatokkal való kimutatása nagy szerepet játszhat a megelőzésben. </w:t>
      </w:r>
    </w:p>
    <w:p w14:paraId="68CE1778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Pulzusnyomás emelkedése</w:t>
      </w:r>
    </w:p>
    <w:p w14:paraId="45674ACF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Fiatal korban a pulzusnyomást a perifériás ellenállóképesség határozza meg.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típusú artériákat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arteriolákat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rezisztenciaereknek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hívjuk, melyek a teljes perifériás ellenállás kialakításában vesznek részt, így nagy szerepük van a pulzusnyomás alakulásában.</w:t>
      </w:r>
    </w:p>
    <w:p w14:paraId="26ADB67A" w14:textId="7B0F335D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vascularis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öregedés hatására a pulzusnyomás emelkedése következik be. Ennek magyarázata, hogy idősebb korban fő befolyásoló tényezője már nem a perifériás, hanem a centrális érfalak merevsége, mely, az előbbiekben foglaltak alapján, egyre növekszik az évek múlásával. A pulzusnyomás mérésével így következtetni tudunk a centrális artériák merevségének mértékére. Klinikai jelentősége is van az ilyen vizsgálatoknak, ugyanis segítséget nyújthatnak a </w:t>
      </w:r>
      <w:r w:rsidR="00C60261">
        <w:rPr>
          <w:rFonts w:ascii="Times New Roman" w:eastAsia="Calibri" w:hAnsi="Times New Roman" w:cs="Times New Roman"/>
          <w:sz w:val="24"/>
          <w:szCs w:val="24"/>
        </w:rPr>
        <w:t>koszorúér-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betegségek prognosztizálásában. </w:t>
      </w:r>
    </w:p>
    <w:p w14:paraId="713E2089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Pulzushullám terjedési sebességének növekedése</w:t>
      </w:r>
    </w:p>
    <w:p w14:paraId="08ED364A" w14:textId="66FDECEC" w:rsidR="00D72708" w:rsidRDefault="00D72708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14A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>ábra: A PWV alakulás az évek múlásával</w:t>
      </w:r>
    </w:p>
    <w:p w14:paraId="77732D24" w14:textId="7CBCCF68" w:rsidR="00814ACA" w:rsidRPr="00814ACA" w:rsidRDefault="00565C1F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897D00" wp14:editId="248D33B5">
            <wp:extent cx="4467225" cy="26384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ACA"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D72708">
        <w:rPr>
          <w:rFonts w:ascii="Times New Roman" w:eastAsia="Calibri" w:hAnsi="Times New Roman" w:cs="Times New Roman"/>
          <w:sz w:val="24"/>
          <w:szCs w:val="24"/>
        </w:rPr>
        <w:t>Forrás: Saját ábra</w:t>
      </w:r>
    </w:p>
    <w:p w14:paraId="1897A435" w14:textId="637B89E5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 pulzushullám terjedési sebessége (PWV,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pulse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wave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velocity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) legfőképp szintén az artériák falának merevségétől függ, de hat rá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érfal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simaizomtónusa is. Magát a pulzushullámot az áramlási hullám és a bal kamra nyomáshulláma közösen kép</w:t>
      </w:r>
      <w:r w:rsidR="00543429">
        <w:rPr>
          <w:rFonts w:ascii="Times New Roman" w:eastAsia="Calibri" w:hAnsi="Times New Roman" w:cs="Times New Roman"/>
          <w:sz w:val="24"/>
          <w:szCs w:val="24"/>
        </w:rPr>
        <w:t>e</w:t>
      </w:r>
      <w:r w:rsidRPr="00814ACA">
        <w:rPr>
          <w:rFonts w:ascii="Times New Roman" w:eastAsia="Calibri" w:hAnsi="Times New Roman" w:cs="Times New Roman"/>
          <w:sz w:val="24"/>
          <w:szCs w:val="24"/>
        </w:rPr>
        <w:t>zi.</w:t>
      </w:r>
    </w:p>
    <w:p w14:paraId="42CF1F6B" w14:textId="30B36350" w:rsidR="00814ACA" w:rsidRDefault="00814ACA" w:rsidP="00543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>A</w:t>
      </w:r>
      <w:r w:rsidR="00553E24">
        <w:rPr>
          <w:rFonts w:ascii="Times New Roman" w:eastAsia="Calibri" w:hAnsi="Times New Roman" w:cs="Times New Roman"/>
          <w:sz w:val="24"/>
          <w:szCs w:val="24"/>
        </w:rPr>
        <w:t>z 5. ábra jól szemlélteti, hogy a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PWV az idő múlásával folyamatosan nő, ahogy az érfalak is egyre merevebbé válnak. A későbbiekben tárgyalt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endothel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-diszfunkció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atherosclerosis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szintén PWV növelő hatással bírnak, bizonyítandó, hogy a pulzushullám terjedési sebessége nem csupán az artériák szerkezeti változásától függ. Mivel a már korábban említetteknek megfelelően a perifériás,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muscularis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artériák fala az évek múlásával nem válik nagy mértékben merevebbé, így az érhálózat különböző területein más mértékben alakul az öregedés hatására bekövetkező PWV emelkedés.</w:t>
      </w:r>
      <w:r w:rsidR="00543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FB7">
        <w:rPr>
          <w:rFonts w:ascii="Times New Roman" w:eastAsia="Calibri" w:hAnsi="Times New Roman" w:cs="Times New Roman"/>
          <w:sz w:val="24"/>
          <w:szCs w:val="24"/>
        </w:rPr>
        <w:t xml:space="preserve">(5. ábra)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 pulzusnyomással megegyezően a </w:t>
      </w:r>
      <w:r w:rsidRPr="00814A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PWV is klinikai jelentőséggel bír,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cardiovascularis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megbetegedések előre</w:t>
      </w:r>
      <w:r w:rsidR="00900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>jelző tényezője lehet (</w:t>
      </w:r>
      <w:r w:rsidR="00844904" w:rsidRPr="00814ACA">
        <w:rPr>
          <w:rFonts w:ascii="Times New Roman" w:eastAsia="Calibri" w:hAnsi="Times New Roman" w:cs="Times New Roman"/>
          <w:sz w:val="24"/>
          <w:szCs w:val="24"/>
        </w:rPr>
        <w:t xml:space="preserve">Laurent és </w:t>
      </w:r>
      <w:proofErr w:type="spellStart"/>
      <w:r w:rsidR="00844904"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="00844904" w:rsidRPr="00814ACA">
        <w:rPr>
          <w:rFonts w:ascii="Times New Roman" w:eastAsia="Calibri" w:hAnsi="Times New Roman" w:cs="Times New Roman"/>
          <w:sz w:val="24"/>
          <w:szCs w:val="24"/>
        </w:rPr>
        <w:t>, 2001</w:t>
      </w:r>
      <w:r w:rsidR="0084490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Mitchell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, 2010; </w:t>
      </w:r>
      <w:proofErr w:type="spellStart"/>
      <w:r w:rsidRPr="00814A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Pr="00814ACA">
        <w:rPr>
          <w:rFonts w:ascii="Times New Roman" w:eastAsia="Calibri" w:hAnsi="Times New Roman" w:cs="Times New Roman"/>
          <w:sz w:val="24"/>
          <w:szCs w:val="24"/>
        </w:rPr>
        <w:t>lachopoulos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2010).</w:t>
      </w:r>
    </w:p>
    <w:p w14:paraId="4AED45AE" w14:textId="77777777" w:rsidR="00844904" w:rsidRPr="00543429" w:rsidRDefault="00844904" w:rsidP="00543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70954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Augmentációs</w:t>
      </w:r>
      <w:proofErr w:type="spellEnd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index növekedés</w:t>
      </w:r>
    </w:p>
    <w:p w14:paraId="05AD9657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augmentációs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hullám szoros kapcsolatban áll az előbb tárgyalt pulzushullámmal.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augmentációs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index a pulzusnyomással összefüggésben azt mutatja meg, hogy mekkora a hullám amplitúdója a pulzusnyomás volumenéhez mérve.</w:t>
      </w:r>
    </w:p>
    <w:p w14:paraId="6F6D2B45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Fiatal korban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augmentációs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hullám a diasztolé alatt éri el az aortát, mivel az artériák fala még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tágulékony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így a hullám sebessége kicsi, ezáltal diasztolés vérnyomásemelő hatással bír.</w:t>
      </w:r>
    </w:p>
    <w:p w14:paraId="4A21E197" w14:textId="3C4A5916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Csakúgy, mint az előbbieket, ezt a hullámot is nagyban befolyásolja az érfalak merevedése, ugyanúgy fokozódó tendenciát mutat (Laurent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Boutouyrie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2007). A sebessége folyamatosan növekszik, ezért az aortához idősebb emberekben már a szisztolé alatt eljut. Ily módon a szisztolés vérnyomást fokozza, a diasztolésra már nincs hatással, ezáltal a két érték differenciáját fokozza.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augmentációs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indexnek idősebb korban már nincs olyan nagy klinikai jelentősége, mint az előző pontokban tárgyalt faktoroknak, hiszen a lehetséges betegségekkel nem áll egyértelmű korrelációban.</w:t>
      </w:r>
    </w:p>
    <w:p w14:paraId="10D82A83" w14:textId="77777777" w:rsidR="00814ACA" w:rsidRP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Kis- és </w:t>
      </w:r>
      <w:proofErr w:type="spellStart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nagyerek</w:t>
      </w:r>
      <w:proofErr w:type="spellEnd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b/>
          <w:bCs/>
          <w:sz w:val="24"/>
          <w:szCs w:val="24"/>
        </w:rPr>
        <w:t>atherosclerosisa</w:t>
      </w:r>
      <w:proofErr w:type="spellEnd"/>
    </w:p>
    <w:p w14:paraId="09B3D0B4" w14:textId="525A38AB" w:rsidR="00D72708" w:rsidRDefault="00D72708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14A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>ábra: Az érrendszer legfontosabb változásai az öregedés hatására</w:t>
      </w:r>
    </w:p>
    <w:p w14:paraId="673A51CA" w14:textId="78C71D16" w:rsid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ACA">
        <w:rPr>
          <w:rFonts w:ascii="Calibri" w:eastAsia="Calibri" w:hAnsi="Calibri" w:cs="Times New Roman"/>
          <w:noProof/>
        </w:rPr>
        <w:drawing>
          <wp:inline distT="0" distB="0" distL="0" distR="0" wp14:anchorId="3515CA8B" wp14:editId="2007FEF4">
            <wp:extent cx="4429125" cy="15144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9126" r="13194" b="44064"/>
                    <a:stretch/>
                  </pic:blipFill>
                  <pic:spPr bwMode="auto">
                    <a:xfrm>
                      <a:off x="0" y="0"/>
                      <a:ext cx="44291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39019" w14:textId="4CD8E6F0" w:rsidR="00814ACA" w:rsidRPr="00814ACA" w:rsidRDefault="00D72708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Forrás: Saját ábra</w:t>
      </w:r>
    </w:p>
    <w:p w14:paraId="55609BB0" w14:textId="6A7DC48B" w:rsidR="00900F6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atherosclerosis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általában már korábbi</w:t>
      </w:r>
      <w:r w:rsidR="00553E24">
        <w:rPr>
          <w:rFonts w:ascii="Times New Roman" w:eastAsia="Calibri" w:hAnsi="Times New Roman" w:cs="Times New Roman"/>
          <w:sz w:val="24"/>
          <w:szCs w:val="24"/>
        </w:rPr>
        <w:t>, a 6. ábrán látható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cardiovascularis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megbetegedések velejárójaként jelenik meg. Ezen kívül kialakulásában részt vesznek más, külső faktorok is, mint például diabetes mellitus, vagy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hypertonia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.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atherosclerotikus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plakk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csak mindkét tényező jelenlétében fejlődik ki. Ezek alapján magát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atherosclerosis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-t nem is tekinthetjük önálló betegségnek (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Lakatta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Levy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, 2003), inkább egy tünetegyüttesnek, mely az öregedés miatt kialakuló érrendszeri problémákkal együtt közrejátszik az időskori mortalitás emelkedésében (Roth és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mtsai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2017)</w:t>
      </w:r>
      <w:r w:rsidR="008449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progrediáló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folyamat egyértelműen erősebben és gyorsabban alakul ki az idősekben, viszont létezik fiatalkorban megjelenő formája is. A korai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atherosclerosis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betudható annak, hogy bizonyos esetekben a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cardiovascularis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öregedés előbb és gyorsabban zajlik le, mint általában, mely a nem megfelelő életmódnak és étrendnek tudható be</w:t>
      </w:r>
      <w:r w:rsidR="00844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AC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Jakovljevic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>, 2018)</w:t>
      </w:r>
      <w:r w:rsidR="008449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1BE4DF" w14:textId="6D64F6E5" w:rsidR="00814ACA" w:rsidRDefault="00814ACA" w:rsidP="005434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Klinikai jelentősége többek között abban rejlik, hogy áramlási zavart okoz az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erekben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, és mivel sokszor diabetes-szel jár együtt, ami pedig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vascularis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károsodásokat segít elő, így együtt még erősebb romboló hatással rendelkez</w:t>
      </w:r>
      <w:r w:rsidR="00900F6A">
        <w:rPr>
          <w:rFonts w:ascii="Times New Roman" w:eastAsia="Calibri" w:hAnsi="Times New Roman" w:cs="Times New Roman"/>
          <w:sz w:val="24"/>
          <w:szCs w:val="24"/>
        </w:rPr>
        <w:t>ne</w:t>
      </w:r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k. Főként a különböző szervekben lévő </w:t>
      </w:r>
      <w:proofErr w:type="spellStart"/>
      <w:r w:rsidRPr="00814ACA">
        <w:rPr>
          <w:rFonts w:ascii="Times New Roman" w:eastAsia="Calibri" w:hAnsi="Times New Roman" w:cs="Times New Roman"/>
          <w:sz w:val="24"/>
          <w:szCs w:val="24"/>
        </w:rPr>
        <w:t>mikrocirkulációra</w:t>
      </w:r>
      <w:proofErr w:type="spellEnd"/>
      <w:r w:rsidRPr="00814ACA">
        <w:rPr>
          <w:rFonts w:ascii="Times New Roman" w:eastAsia="Calibri" w:hAnsi="Times New Roman" w:cs="Times New Roman"/>
          <w:sz w:val="24"/>
          <w:szCs w:val="24"/>
        </w:rPr>
        <w:t xml:space="preserve"> lehet ártalmas hatással, különös tekintettel az agyra és a vesére.</w:t>
      </w:r>
    </w:p>
    <w:p w14:paraId="0A3EE1DF" w14:textId="77777777" w:rsidR="00814ACA" w:rsidRDefault="00814ACA" w:rsidP="0054342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5834A2A" w14:textId="77777777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Endothel</w:t>
      </w:r>
      <w:proofErr w:type="spellEnd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diszfunkció</w:t>
      </w:r>
    </w:p>
    <w:p w14:paraId="48C11748" w14:textId="6C5A45E9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erek és a szív falát borító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endothel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funkciója sokrétű. Fontos szerepet játszik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vascularis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homeosztázis és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tónus fenntartásában. Az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endothel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által termelt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nitrogén-monoxid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prosztaciklin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simaizom relaxációt okoznak, melynek eredményeként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vasodilatatio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jön létre, míg az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angiotensin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-II,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tromboxán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az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endotelinek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érszűkítő hatással bírnak. A legfontosabb életkorral járó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endothel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funkció változást a NO szint csökkenése okozza. Ennek molekuláris mechanizmusa mára még nem tisztázott, de a kutatók több lehetséges tényezőt írtak le. Az egyik ilyen a NO-termelő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endothel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sejtek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apoptózisa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iziológiás esetben a nitrogén-monoxid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szintáz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eNOS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) NO-t termel I-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argininből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BH4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kofaktor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jelenlétében. Oxigén szabadgyökök nagyfokú képződése esetén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eNOS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uncoupling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következik be, amely során az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eNOS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a szubsztrátum szétkapcsolódik, ami az enzim működését gátolja, NO mennyiség csökkenés alakul ki (Collins és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Tzima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, 2011)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NO szint mérséklődésén kívül az életkorral járó csökkent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vasodilatatiohoz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hozzájárul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vasoconstrictor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faktorok megnövekedett termelődése.</w:t>
      </w:r>
    </w:p>
    <w:p w14:paraId="32A6FFE5" w14:textId="77777777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Korai </w:t>
      </w:r>
      <w:proofErr w:type="spellStart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vascularis</w:t>
      </w:r>
      <w:proofErr w:type="spellEnd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öregedés (EVA)</w:t>
      </w:r>
    </w:p>
    <w:p w14:paraId="4BB3CCC2" w14:textId="3D35F12E" w:rsidR="00814ACA" w:rsidRDefault="00814AC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 biológiai életkort az erek állapota határozza meg. A kronológiai és a biológiai életkor gyakran eltér. A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 ábrán látható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hogy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ul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életkor értékei a rizikófaktorok függvényében hogyan változnak (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Cuende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, 2010)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Jól szemlélteti a kronológiai és biológiai életkor lehetséges eltérését többek között az az adat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ahol egy 45 éves dohányzó férfi 160 Hgmm szisztolés vérnyomással és 7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mmol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/l koleszterin értékkel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ul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életkorát tekintve 66 éves, tehát 21 év </w:t>
      </w:r>
      <w:proofErr w:type="gram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eltérést mutat</w:t>
      </w:r>
      <w:proofErr w:type="gram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kronológiai életkorától.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ul</w:t>
      </w:r>
      <w:r w:rsidR="00900F6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életkor azonban nem minden esetben </w:t>
      </w:r>
      <w:proofErr w:type="gram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mutat eltérést</w:t>
      </w:r>
      <w:proofErr w:type="gram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naptári életkortól, megegyezhetnek abban az esetben, ha az öregedésen kívül nincs más rizikófak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tor.</w:t>
      </w:r>
    </w:p>
    <w:p w14:paraId="59725703" w14:textId="1280FE1C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A140D9" w14:textId="3A41CC61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AE02F3" w14:textId="77777777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D3A89" w14:textId="30CB8C69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D66E8A" w14:textId="3C5B682B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810C4" w14:textId="4567EC32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DD0E75" w14:textId="4180859B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9262BF" w14:textId="5CE3389D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FFC95D" w14:textId="56DC9E98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BD14B1" w14:textId="38CFC496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B572C1" w14:textId="6D001BCB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37381A" w14:textId="397012F0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9364B2" w14:textId="008ABC89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6F8C43" w14:textId="0364E4E6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AE027A" w14:textId="3EA1E1A1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59B920" w14:textId="041FE016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E46F34" w14:textId="367DA71D" w:rsidR="00D72708" w:rsidRPr="00D72708" w:rsidRDefault="00D72708" w:rsidP="00D7270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8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 ábra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Vascularis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életkor a kockázati tényezők tekintetében</w:t>
      </w:r>
    </w:p>
    <w:tbl>
      <w:tblPr>
        <w:tblStyle w:val="Rcsostblzat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702"/>
        <w:gridCol w:w="478"/>
        <w:gridCol w:w="481"/>
        <w:gridCol w:w="483"/>
        <w:gridCol w:w="420"/>
        <w:gridCol w:w="513"/>
        <w:gridCol w:w="11"/>
        <w:gridCol w:w="454"/>
        <w:gridCol w:w="459"/>
        <w:gridCol w:w="463"/>
        <w:gridCol w:w="20"/>
        <w:gridCol w:w="440"/>
        <w:gridCol w:w="467"/>
        <w:gridCol w:w="459"/>
        <w:gridCol w:w="458"/>
        <w:gridCol w:w="44"/>
        <w:gridCol w:w="415"/>
        <w:gridCol w:w="69"/>
        <w:gridCol w:w="483"/>
        <w:gridCol w:w="60"/>
        <w:gridCol w:w="462"/>
        <w:gridCol w:w="11"/>
        <w:gridCol w:w="458"/>
        <w:gridCol w:w="458"/>
        <w:gridCol w:w="458"/>
        <w:gridCol w:w="458"/>
        <w:gridCol w:w="459"/>
        <w:gridCol w:w="34"/>
      </w:tblGrid>
      <w:tr w:rsidR="002C4126" w:rsidRPr="00E8717D" w14:paraId="18B62E5D" w14:textId="77777777" w:rsidTr="00D72708">
        <w:trPr>
          <w:trHeight w:hRule="exact" w:val="456"/>
          <w:jc w:val="center"/>
        </w:trPr>
        <w:tc>
          <w:tcPr>
            <w:tcW w:w="737" w:type="dxa"/>
            <w:vMerge w:val="restart"/>
            <w:shd w:val="clear" w:color="auto" w:fill="385623" w:themeFill="accent6" w:themeFillShade="80"/>
          </w:tcPr>
          <w:p w14:paraId="57575986" w14:textId="77777777" w:rsidR="002C412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  <w:p w14:paraId="54472DDD" w14:textId="77777777" w:rsidR="00D72708" w:rsidRDefault="00D72708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  <w:p w14:paraId="17B315AE" w14:textId="77777777" w:rsidR="00D72708" w:rsidRDefault="00D72708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  <w:p w14:paraId="39473F62" w14:textId="77777777" w:rsidR="00D72708" w:rsidRDefault="00D72708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  <w:p w14:paraId="314D22C3" w14:textId="4C53789F" w:rsidR="00D72708" w:rsidRPr="00E8717D" w:rsidRDefault="00D72708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vMerge w:val="restart"/>
            <w:shd w:val="clear" w:color="auto" w:fill="833C0B" w:themeFill="accent2" w:themeFillShade="80"/>
          </w:tcPr>
          <w:p w14:paraId="773B55A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Szisztolés vérnyomás (Hgmm)</w:t>
            </w:r>
          </w:p>
        </w:tc>
        <w:tc>
          <w:tcPr>
            <w:tcW w:w="4692" w:type="dxa"/>
            <w:gridSpan w:val="12"/>
            <w:shd w:val="clear" w:color="auto" w:fill="00B0F0"/>
          </w:tcPr>
          <w:p w14:paraId="3A52A89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nők</w:t>
            </w:r>
          </w:p>
          <w:p w14:paraId="101A5B2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781" w:type="dxa"/>
            <w:gridSpan w:val="15"/>
            <w:shd w:val="clear" w:color="auto" w:fill="0070C0"/>
          </w:tcPr>
          <w:p w14:paraId="5E26FC9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férfiak</w:t>
            </w:r>
          </w:p>
        </w:tc>
      </w:tr>
      <w:tr w:rsidR="002C4126" w:rsidRPr="00E8717D" w14:paraId="06C08478" w14:textId="77777777" w:rsidTr="00D72708">
        <w:trPr>
          <w:trHeight w:hRule="exact" w:val="456"/>
          <w:jc w:val="center"/>
        </w:trPr>
        <w:tc>
          <w:tcPr>
            <w:tcW w:w="737" w:type="dxa"/>
            <w:vMerge/>
            <w:shd w:val="clear" w:color="auto" w:fill="385623" w:themeFill="accent6" w:themeFillShade="80"/>
          </w:tcPr>
          <w:p w14:paraId="201D6E0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vMerge/>
            <w:shd w:val="clear" w:color="auto" w:fill="833C0B" w:themeFill="accent2" w:themeFillShade="80"/>
          </w:tcPr>
          <w:p w14:paraId="24126D3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89" w:type="dxa"/>
            <w:gridSpan w:val="6"/>
            <w:shd w:val="clear" w:color="auto" w:fill="D9D9D9" w:themeFill="background1" w:themeFillShade="D9"/>
          </w:tcPr>
          <w:p w14:paraId="71F3AD3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Nemdohányzók</w:t>
            </w:r>
          </w:p>
        </w:tc>
        <w:tc>
          <w:tcPr>
            <w:tcW w:w="2303" w:type="dxa"/>
            <w:gridSpan w:val="6"/>
            <w:shd w:val="clear" w:color="auto" w:fill="A6A6A6" w:themeFill="background1" w:themeFillShade="A6"/>
          </w:tcPr>
          <w:p w14:paraId="2C481A1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Dohányzók</w:t>
            </w:r>
          </w:p>
        </w:tc>
        <w:tc>
          <w:tcPr>
            <w:tcW w:w="2461" w:type="dxa"/>
            <w:gridSpan w:val="9"/>
            <w:shd w:val="clear" w:color="auto" w:fill="D9D9D9" w:themeFill="background1" w:themeFillShade="D9"/>
          </w:tcPr>
          <w:p w14:paraId="651D2CA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Nemdohányzók</w:t>
            </w:r>
          </w:p>
        </w:tc>
        <w:tc>
          <w:tcPr>
            <w:tcW w:w="2319" w:type="dxa"/>
            <w:gridSpan w:val="6"/>
            <w:shd w:val="clear" w:color="auto" w:fill="A6A6A6" w:themeFill="background1" w:themeFillShade="A6"/>
          </w:tcPr>
          <w:p w14:paraId="2B4810F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dohányzók</w:t>
            </w:r>
          </w:p>
        </w:tc>
      </w:tr>
      <w:tr w:rsidR="002C4126" w14:paraId="1021D161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 w:val="restart"/>
            <w:shd w:val="clear" w:color="auto" w:fill="538135" w:themeFill="accent6" w:themeFillShade="BF"/>
          </w:tcPr>
          <w:p w14:paraId="22A698C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703" w:type="dxa"/>
            <w:shd w:val="clear" w:color="auto" w:fill="C45911" w:themeFill="accent2" w:themeFillShade="BF"/>
          </w:tcPr>
          <w:p w14:paraId="6C40ECE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180</w:t>
            </w:r>
          </w:p>
        </w:tc>
        <w:tc>
          <w:tcPr>
            <w:tcW w:w="479" w:type="dxa"/>
          </w:tcPr>
          <w:p w14:paraId="11CE34F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482" w:type="dxa"/>
          </w:tcPr>
          <w:p w14:paraId="2ED38F2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84" w:type="dxa"/>
          </w:tcPr>
          <w:p w14:paraId="05286CD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20" w:type="dxa"/>
          </w:tcPr>
          <w:p w14:paraId="7AE4567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513" w:type="dxa"/>
          </w:tcPr>
          <w:p w14:paraId="24D6BFD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5" w:type="dxa"/>
            <w:gridSpan w:val="2"/>
          </w:tcPr>
          <w:p w14:paraId="5D8A916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27F98872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3" w:type="dxa"/>
          </w:tcPr>
          <w:p w14:paraId="2AF43756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0" w:type="dxa"/>
            <w:gridSpan w:val="2"/>
          </w:tcPr>
          <w:p w14:paraId="75FBA160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2" w:type="dxa"/>
          </w:tcPr>
          <w:p w14:paraId="516AD67C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0AB34192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502" w:type="dxa"/>
            <w:gridSpan w:val="2"/>
          </w:tcPr>
          <w:p w14:paraId="19E72E72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84" w:type="dxa"/>
            <w:gridSpan w:val="2"/>
          </w:tcPr>
          <w:p w14:paraId="54ED8BED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83" w:type="dxa"/>
          </w:tcPr>
          <w:p w14:paraId="381DEC00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6EF37ADD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9" w:type="dxa"/>
            <w:gridSpan w:val="2"/>
          </w:tcPr>
          <w:p w14:paraId="0DBD5957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34190532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3EE9178C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0F391B2C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1CD41B23" w14:textId="77777777" w:rsidR="002C4126" w:rsidRPr="000205C1" w:rsidRDefault="002C4126" w:rsidP="00D72708">
            <w:pPr>
              <w:rPr>
                <w:sz w:val="16"/>
                <w:szCs w:val="16"/>
              </w:rPr>
            </w:pPr>
            <w:r w:rsidRPr="000205C1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49665CFD" w14:textId="77777777" w:rsidTr="00D72708">
        <w:trPr>
          <w:gridAfter w:val="1"/>
          <w:wAfter w:w="34" w:type="dxa"/>
          <w:trHeight w:val="383"/>
          <w:jc w:val="center"/>
        </w:trPr>
        <w:tc>
          <w:tcPr>
            <w:tcW w:w="737" w:type="dxa"/>
            <w:vMerge/>
            <w:shd w:val="clear" w:color="auto" w:fill="538135" w:themeFill="accent6" w:themeFillShade="BF"/>
          </w:tcPr>
          <w:p w14:paraId="7C6A2A8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4B083" w:themeFill="accent2" w:themeFillTint="99"/>
          </w:tcPr>
          <w:p w14:paraId="0FEEC1B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160</w:t>
            </w:r>
          </w:p>
        </w:tc>
        <w:tc>
          <w:tcPr>
            <w:tcW w:w="479" w:type="dxa"/>
          </w:tcPr>
          <w:p w14:paraId="558AF56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82" w:type="dxa"/>
          </w:tcPr>
          <w:p w14:paraId="4EF6564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84" w:type="dxa"/>
          </w:tcPr>
          <w:p w14:paraId="5B58A90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20" w:type="dxa"/>
          </w:tcPr>
          <w:p w14:paraId="735A279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513" w:type="dxa"/>
          </w:tcPr>
          <w:p w14:paraId="64ADE42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65" w:type="dxa"/>
            <w:gridSpan w:val="2"/>
          </w:tcPr>
          <w:p w14:paraId="7E17C38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70B5E850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3" w:type="dxa"/>
          </w:tcPr>
          <w:p w14:paraId="0D9E3B14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0" w:type="dxa"/>
            <w:gridSpan w:val="2"/>
          </w:tcPr>
          <w:p w14:paraId="0A4D250B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2" w:type="dxa"/>
          </w:tcPr>
          <w:p w14:paraId="4C92C201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3529843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502" w:type="dxa"/>
            <w:gridSpan w:val="2"/>
          </w:tcPr>
          <w:p w14:paraId="14C31D3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84" w:type="dxa"/>
            <w:gridSpan w:val="2"/>
          </w:tcPr>
          <w:p w14:paraId="1C45510E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83" w:type="dxa"/>
          </w:tcPr>
          <w:p w14:paraId="2A4339CA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522" w:type="dxa"/>
            <w:gridSpan w:val="2"/>
          </w:tcPr>
          <w:p w14:paraId="700CBA98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9" w:type="dxa"/>
            <w:gridSpan w:val="2"/>
          </w:tcPr>
          <w:p w14:paraId="335F4C9C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6A0ACC05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3B41C35E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64F0C809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0436E7C7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5AF3EA90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538135" w:themeFill="accent6" w:themeFillShade="BF"/>
          </w:tcPr>
          <w:p w14:paraId="770A296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5BE2556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140</w:t>
            </w:r>
          </w:p>
        </w:tc>
        <w:tc>
          <w:tcPr>
            <w:tcW w:w="479" w:type="dxa"/>
          </w:tcPr>
          <w:p w14:paraId="14F3A1F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82" w:type="dxa"/>
          </w:tcPr>
          <w:p w14:paraId="619A68F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84" w:type="dxa"/>
          </w:tcPr>
          <w:p w14:paraId="7BBA71F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20" w:type="dxa"/>
          </w:tcPr>
          <w:p w14:paraId="3AB342E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513" w:type="dxa"/>
          </w:tcPr>
          <w:p w14:paraId="0A1ABC6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65" w:type="dxa"/>
            <w:gridSpan w:val="2"/>
          </w:tcPr>
          <w:p w14:paraId="3EB9F05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59" w:type="dxa"/>
          </w:tcPr>
          <w:p w14:paraId="7E46134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463" w:type="dxa"/>
          </w:tcPr>
          <w:p w14:paraId="615F0E5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60" w:type="dxa"/>
            <w:gridSpan w:val="2"/>
          </w:tcPr>
          <w:p w14:paraId="16B6279A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2" w:type="dxa"/>
          </w:tcPr>
          <w:p w14:paraId="651A0C6B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335B5E0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502" w:type="dxa"/>
            <w:gridSpan w:val="2"/>
          </w:tcPr>
          <w:p w14:paraId="533327B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84" w:type="dxa"/>
            <w:gridSpan w:val="2"/>
          </w:tcPr>
          <w:p w14:paraId="6C880E1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83" w:type="dxa"/>
          </w:tcPr>
          <w:p w14:paraId="3A9099E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522" w:type="dxa"/>
            <w:gridSpan w:val="2"/>
          </w:tcPr>
          <w:p w14:paraId="586D63A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9" w:type="dxa"/>
            <w:gridSpan w:val="2"/>
          </w:tcPr>
          <w:p w14:paraId="7795AA21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43AC9C5D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4FF776AC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63908AFC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3B30D1F8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4BF6236E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538135" w:themeFill="accent6" w:themeFillShade="BF"/>
          </w:tcPr>
          <w:p w14:paraId="5A7A7D7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BE4D5" w:themeFill="accent2" w:themeFillTint="33"/>
          </w:tcPr>
          <w:p w14:paraId="282D02D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120</w:t>
            </w:r>
          </w:p>
        </w:tc>
        <w:tc>
          <w:tcPr>
            <w:tcW w:w="479" w:type="dxa"/>
          </w:tcPr>
          <w:p w14:paraId="61D2070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482" w:type="dxa"/>
          </w:tcPr>
          <w:p w14:paraId="5164A87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84" w:type="dxa"/>
          </w:tcPr>
          <w:p w14:paraId="1D9F4F3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20" w:type="dxa"/>
          </w:tcPr>
          <w:p w14:paraId="03AEF27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513" w:type="dxa"/>
          </w:tcPr>
          <w:p w14:paraId="6998478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65" w:type="dxa"/>
            <w:gridSpan w:val="2"/>
          </w:tcPr>
          <w:p w14:paraId="11FDA5E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59" w:type="dxa"/>
          </w:tcPr>
          <w:p w14:paraId="4AD2FCF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63" w:type="dxa"/>
          </w:tcPr>
          <w:p w14:paraId="1B3F6C5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60" w:type="dxa"/>
            <w:gridSpan w:val="2"/>
          </w:tcPr>
          <w:p w14:paraId="6B2C32E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62" w:type="dxa"/>
          </w:tcPr>
          <w:p w14:paraId="19AA887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59" w:type="dxa"/>
          </w:tcPr>
          <w:p w14:paraId="3E41F31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502" w:type="dxa"/>
            <w:gridSpan w:val="2"/>
          </w:tcPr>
          <w:p w14:paraId="03181D4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84" w:type="dxa"/>
            <w:gridSpan w:val="2"/>
          </w:tcPr>
          <w:p w14:paraId="4F28687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83" w:type="dxa"/>
          </w:tcPr>
          <w:p w14:paraId="5C3D5DA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522" w:type="dxa"/>
            <w:gridSpan w:val="2"/>
          </w:tcPr>
          <w:p w14:paraId="393DA84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69" w:type="dxa"/>
            <w:gridSpan w:val="2"/>
          </w:tcPr>
          <w:p w14:paraId="0D6D8DE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58" w:type="dxa"/>
          </w:tcPr>
          <w:p w14:paraId="3EE89B4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58" w:type="dxa"/>
          </w:tcPr>
          <w:p w14:paraId="7C9A930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5107DE11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35DF20B2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4E8793AE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 w:val="restart"/>
            <w:shd w:val="clear" w:color="auto" w:fill="70AD47" w:themeFill="accent6"/>
          </w:tcPr>
          <w:p w14:paraId="3CBA19D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703" w:type="dxa"/>
            <w:shd w:val="clear" w:color="auto" w:fill="C45911" w:themeFill="accent2" w:themeFillShade="BF"/>
          </w:tcPr>
          <w:p w14:paraId="4A7E0FA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180</w:t>
            </w:r>
          </w:p>
        </w:tc>
        <w:tc>
          <w:tcPr>
            <w:tcW w:w="479" w:type="dxa"/>
          </w:tcPr>
          <w:p w14:paraId="612AEBC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82" w:type="dxa"/>
          </w:tcPr>
          <w:p w14:paraId="46A526E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84" w:type="dxa"/>
          </w:tcPr>
          <w:p w14:paraId="48D19F4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20" w:type="dxa"/>
          </w:tcPr>
          <w:p w14:paraId="2CD7D48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513" w:type="dxa"/>
          </w:tcPr>
          <w:p w14:paraId="6F00732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465" w:type="dxa"/>
            <w:gridSpan w:val="2"/>
          </w:tcPr>
          <w:p w14:paraId="7F4E05D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59" w:type="dxa"/>
          </w:tcPr>
          <w:p w14:paraId="6F42FA52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3" w:type="dxa"/>
          </w:tcPr>
          <w:p w14:paraId="778A074F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0" w:type="dxa"/>
            <w:gridSpan w:val="2"/>
          </w:tcPr>
          <w:p w14:paraId="054754B8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2" w:type="dxa"/>
          </w:tcPr>
          <w:p w14:paraId="1C89C36E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6C1B095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502" w:type="dxa"/>
            <w:gridSpan w:val="2"/>
          </w:tcPr>
          <w:p w14:paraId="6442E35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484" w:type="dxa"/>
            <w:gridSpan w:val="2"/>
          </w:tcPr>
          <w:p w14:paraId="75176C9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83" w:type="dxa"/>
          </w:tcPr>
          <w:p w14:paraId="1EAEF392" w14:textId="77777777" w:rsidR="002C4126" w:rsidRDefault="002C4126" w:rsidP="00D72708">
            <w:r w:rsidRPr="007655F2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522" w:type="dxa"/>
            <w:gridSpan w:val="2"/>
          </w:tcPr>
          <w:p w14:paraId="38C2D96B" w14:textId="77777777" w:rsidR="002C4126" w:rsidRDefault="002C4126" w:rsidP="00D72708">
            <w:r w:rsidRPr="007655F2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69" w:type="dxa"/>
            <w:gridSpan w:val="2"/>
          </w:tcPr>
          <w:p w14:paraId="261BAC3F" w14:textId="77777777" w:rsidR="002C4126" w:rsidRDefault="002C4126" w:rsidP="00D72708">
            <w:r w:rsidRPr="0064694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0EABC694" w14:textId="77777777" w:rsidR="002C4126" w:rsidRDefault="002C4126" w:rsidP="00D72708">
            <w:r w:rsidRPr="0064694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6EEDDF80" w14:textId="77777777" w:rsidR="002C4126" w:rsidRDefault="002C4126" w:rsidP="00D72708">
            <w:r w:rsidRPr="0064694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36A41322" w14:textId="77777777" w:rsidR="002C4126" w:rsidRDefault="002C4126" w:rsidP="00D72708">
            <w:r w:rsidRPr="0064694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4F7ECCE7" w14:textId="77777777" w:rsidR="002C4126" w:rsidRDefault="002C4126" w:rsidP="00D72708">
            <w:r w:rsidRPr="0064694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1649D594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70AD47" w:themeFill="accent6"/>
          </w:tcPr>
          <w:p w14:paraId="42396B4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4B083" w:themeFill="accent2" w:themeFillTint="99"/>
          </w:tcPr>
          <w:p w14:paraId="2FD5604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160</w:t>
            </w:r>
          </w:p>
        </w:tc>
        <w:tc>
          <w:tcPr>
            <w:tcW w:w="479" w:type="dxa"/>
          </w:tcPr>
          <w:p w14:paraId="27DC5E3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82" w:type="dxa"/>
          </w:tcPr>
          <w:p w14:paraId="4C1626B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84" w:type="dxa"/>
          </w:tcPr>
          <w:p w14:paraId="08D7F4B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20" w:type="dxa"/>
          </w:tcPr>
          <w:p w14:paraId="5FD3560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513" w:type="dxa"/>
          </w:tcPr>
          <w:p w14:paraId="49987D6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65" w:type="dxa"/>
            <w:gridSpan w:val="2"/>
          </w:tcPr>
          <w:p w14:paraId="7A0F7BA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59" w:type="dxa"/>
          </w:tcPr>
          <w:p w14:paraId="3F06DDE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63" w:type="dxa"/>
          </w:tcPr>
          <w:p w14:paraId="057CB27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460" w:type="dxa"/>
            <w:gridSpan w:val="2"/>
          </w:tcPr>
          <w:p w14:paraId="1BD7C2F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62" w:type="dxa"/>
          </w:tcPr>
          <w:p w14:paraId="3F5E8279" w14:textId="77777777" w:rsidR="002C4126" w:rsidRPr="000C3096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27C03D8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502" w:type="dxa"/>
            <w:gridSpan w:val="2"/>
          </w:tcPr>
          <w:p w14:paraId="1504B77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84" w:type="dxa"/>
            <w:gridSpan w:val="2"/>
          </w:tcPr>
          <w:p w14:paraId="70FF00C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83" w:type="dxa"/>
          </w:tcPr>
          <w:p w14:paraId="01CDED7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522" w:type="dxa"/>
            <w:gridSpan w:val="2"/>
          </w:tcPr>
          <w:p w14:paraId="541BF55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69" w:type="dxa"/>
            <w:gridSpan w:val="2"/>
          </w:tcPr>
          <w:p w14:paraId="4F9F5E1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58" w:type="dxa"/>
          </w:tcPr>
          <w:p w14:paraId="2FE9D9F9" w14:textId="77777777" w:rsidR="002C4126" w:rsidRDefault="002C4126" w:rsidP="00D72708">
            <w:r w:rsidRPr="00182D1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395BE6B8" w14:textId="77777777" w:rsidR="002C4126" w:rsidRDefault="002C4126" w:rsidP="00D72708">
            <w:r w:rsidRPr="00182D1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15AF02B4" w14:textId="77777777" w:rsidR="002C4126" w:rsidRDefault="002C4126" w:rsidP="00D72708">
            <w:r w:rsidRPr="00182D1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76076F68" w14:textId="77777777" w:rsidR="002C4126" w:rsidRDefault="002C4126" w:rsidP="00D72708">
            <w:r w:rsidRPr="00182D1D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7E970F6D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70AD47" w:themeFill="accent6"/>
          </w:tcPr>
          <w:p w14:paraId="29935EB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15A5650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140</w:t>
            </w:r>
          </w:p>
        </w:tc>
        <w:tc>
          <w:tcPr>
            <w:tcW w:w="479" w:type="dxa"/>
          </w:tcPr>
          <w:p w14:paraId="0522840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82" w:type="dxa"/>
          </w:tcPr>
          <w:p w14:paraId="182F03D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484" w:type="dxa"/>
          </w:tcPr>
          <w:p w14:paraId="5EB4058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20" w:type="dxa"/>
          </w:tcPr>
          <w:p w14:paraId="3B4520D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513" w:type="dxa"/>
          </w:tcPr>
          <w:p w14:paraId="660A1AF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65" w:type="dxa"/>
            <w:gridSpan w:val="2"/>
          </w:tcPr>
          <w:p w14:paraId="2CBA6D4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59" w:type="dxa"/>
          </w:tcPr>
          <w:p w14:paraId="06FED89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63" w:type="dxa"/>
          </w:tcPr>
          <w:p w14:paraId="79C8019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60" w:type="dxa"/>
            <w:gridSpan w:val="2"/>
          </w:tcPr>
          <w:p w14:paraId="08F26E9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62" w:type="dxa"/>
          </w:tcPr>
          <w:p w14:paraId="5789D4F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59" w:type="dxa"/>
          </w:tcPr>
          <w:p w14:paraId="5DBB414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502" w:type="dxa"/>
            <w:gridSpan w:val="2"/>
          </w:tcPr>
          <w:p w14:paraId="73C4E45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84" w:type="dxa"/>
            <w:gridSpan w:val="2"/>
          </w:tcPr>
          <w:p w14:paraId="6378AE6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83" w:type="dxa"/>
          </w:tcPr>
          <w:p w14:paraId="27C691E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522" w:type="dxa"/>
            <w:gridSpan w:val="2"/>
          </w:tcPr>
          <w:p w14:paraId="07D7725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69" w:type="dxa"/>
            <w:gridSpan w:val="2"/>
          </w:tcPr>
          <w:p w14:paraId="6F4ACC1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58" w:type="dxa"/>
          </w:tcPr>
          <w:p w14:paraId="2383C58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58" w:type="dxa"/>
          </w:tcPr>
          <w:p w14:paraId="113D909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58" w:type="dxa"/>
          </w:tcPr>
          <w:p w14:paraId="01E14582" w14:textId="77777777" w:rsidR="002C4126" w:rsidRDefault="002C4126" w:rsidP="00D72708">
            <w:r w:rsidRPr="001823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3A342C5F" w14:textId="77777777" w:rsidR="002C4126" w:rsidRDefault="002C4126" w:rsidP="00D72708">
            <w:r w:rsidRPr="001823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106CFF6D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70AD47" w:themeFill="accent6"/>
          </w:tcPr>
          <w:p w14:paraId="0437D46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BE4D5" w:themeFill="accent2" w:themeFillTint="33"/>
          </w:tcPr>
          <w:p w14:paraId="6CDCBE3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120</w:t>
            </w:r>
          </w:p>
        </w:tc>
        <w:tc>
          <w:tcPr>
            <w:tcW w:w="479" w:type="dxa"/>
          </w:tcPr>
          <w:p w14:paraId="6B7B6B9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482" w:type="dxa"/>
          </w:tcPr>
          <w:p w14:paraId="78DCB2F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84" w:type="dxa"/>
          </w:tcPr>
          <w:p w14:paraId="45CA7F7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20" w:type="dxa"/>
          </w:tcPr>
          <w:p w14:paraId="04894BC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513" w:type="dxa"/>
          </w:tcPr>
          <w:p w14:paraId="222BFC3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65" w:type="dxa"/>
            <w:gridSpan w:val="2"/>
          </w:tcPr>
          <w:p w14:paraId="0C76857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59" w:type="dxa"/>
          </w:tcPr>
          <w:p w14:paraId="39EA2F3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63" w:type="dxa"/>
          </w:tcPr>
          <w:p w14:paraId="68234CA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60" w:type="dxa"/>
            <w:gridSpan w:val="2"/>
          </w:tcPr>
          <w:p w14:paraId="2D4017B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62" w:type="dxa"/>
          </w:tcPr>
          <w:p w14:paraId="0EDB26D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59" w:type="dxa"/>
          </w:tcPr>
          <w:p w14:paraId="086DF20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502" w:type="dxa"/>
            <w:gridSpan w:val="2"/>
          </w:tcPr>
          <w:p w14:paraId="7CE9D96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84" w:type="dxa"/>
            <w:gridSpan w:val="2"/>
          </w:tcPr>
          <w:p w14:paraId="3246BB8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83" w:type="dxa"/>
          </w:tcPr>
          <w:p w14:paraId="5E952C57" w14:textId="77777777" w:rsidR="002C4126" w:rsidRPr="00E8717D" w:rsidRDefault="002C4126" w:rsidP="00D72708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522" w:type="dxa"/>
            <w:gridSpan w:val="2"/>
          </w:tcPr>
          <w:p w14:paraId="1BD300F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69" w:type="dxa"/>
            <w:gridSpan w:val="2"/>
          </w:tcPr>
          <w:p w14:paraId="08D7D04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58" w:type="dxa"/>
          </w:tcPr>
          <w:p w14:paraId="5A5E0C8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58" w:type="dxa"/>
          </w:tcPr>
          <w:p w14:paraId="6512B37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58" w:type="dxa"/>
          </w:tcPr>
          <w:p w14:paraId="197BA6B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59" w:type="dxa"/>
          </w:tcPr>
          <w:p w14:paraId="37B75CB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2C4126" w14:paraId="776B68BA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 w:val="restart"/>
            <w:shd w:val="clear" w:color="auto" w:fill="A8D08D" w:themeFill="accent6" w:themeFillTint="99"/>
          </w:tcPr>
          <w:p w14:paraId="408FA06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703" w:type="dxa"/>
            <w:shd w:val="clear" w:color="auto" w:fill="C45911" w:themeFill="accent2" w:themeFillShade="BF"/>
          </w:tcPr>
          <w:p w14:paraId="6108BAB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180</w:t>
            </w:r>
          </w:p>
        </w:tc>
        <w:tc>
          <w:tcPr>
            <w:tcW w:w="479" w:type="dxa"/>
          </w:tcPr>
          <w:p w14:paraId="26F127D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82" w:type="dxa"/>
          </w:tcPr>
          <w:p w14:paraId="0C92905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84" w:type="dxa"/>
          </w:tcPr>
          <w:p w14:paraId="6DB831A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20" w:type="dxa"/>
          </w:tcPr>
          <w:p w14:paraId="4E55713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513" w:type="dxa"/>
          </w:tcPr>
          <w:p w14:paraId="3EE42E2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65" w:type="dxa"/>
            <w:gridSpan w:val="2"/>
          </w:tcPr>
          <w:p w14:paraId="52CB87B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59" w:type="dxa"/>
          </w:tcPr>
          <w:p w14:paraId="6521CFB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63" w:type="dxa"/>
          </w:tcPr>
          <w:p w14:paraId="5D29A83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75</w:t>
            </w:r>
          </w:p>
        </w:tc>
        <w:tc>
          <w:tcPr>
            <w:tcW w:w="460" w:type="dxa"/>
            <w:gridSpan w:val="2"/>
          </w:tcPr>
          <w:p w14:paraId="2226596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62" w:type="dxa"/>
          </w:tcPr>
          <w:p w14:paraId="3440E36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59" w:type="dxa"/>
          </w:tcPr>
          <w:p w14:paraId="3861444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502" w:type="dxa"/>
            <w:gridSpan w:val="2"/>
          </w:tcPr>
          <w:p w14:paraId="068551C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84" w:type="dxa"/>
            <w:gridSpan w:val="2"/>
          </w:tcPr>
          <w:p w14:paraId="439F0E0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83" w:type="dxa"/>
          </w:tcPr>
          <w:p w14:paraId="47EA922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522" w:type="dxa"/>
            <w:gridSpan w:val="2"/>
          </w:tcPr>
          <w:p w14:paraId="0CF62AC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69" w:type="dxa"/>
            <w:gridSpan w:val="2"/>
          </w:tcPr>
          <w:p w14:paraId="5AD2EB4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58" w:type="dxa"/>
          </w:tcPr>
          <w:p w14:paraId="6897FED8" w14:textId="77777777" w:rsidR="002C4126" w:rsidRDefault="002C4126" w:rsidP="00D72708">
            <w:r w:rsidRPr="00895D27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2A188354" w14:textId="77777777" w:rsidR="002C4126" w:rsidRDefault="002C4126" w:rsidP="00D72708">
            <w:r w:rsidRPr="00895D27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8" w:type="dxa"/>
          </w:tcPr>
          <w:p w14:paraId="097305B6" w14:textId="77777777" w:rsidR="002C4126" w:rsidRDefault="002C4126" w:rsidP="00D72708">
            <w:r w:rsidRPr="00895D27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1CAEC294" w14:textId="77777777" w:rsidR="002C4126" w:rsidRDefault="002C4126" w:rsidP="00D72708">
            <w:r w:rsidRPr="00895D27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342927DD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A8D08D" w:themeFill="accent6" w:themeFillTint="99"/>
          </w:tcPr>
          <w:p w14:paraId="6E9D93E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4B083" w:themeFill="accent2" w:themeFillTint="99"/>
          </w:tcPr>
          <w:p w14:paraId="2E406B0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160</w:t>
            </w:r>
          </w:p>
        </w:tc>
        <w:tc>
          <w:tcPr>
            <w:tcW w:w="479" w:type="dxa"/>
          </w:tcPr>
          <w:p w14:paraId="7856981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82" w:type="dxa"/>
          </w:tcPr>
          <w:p w14:paraId="2D16E06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84" w:type="dxa"/>
          </w:tcPr>
          <w:p w14:paraId="61AB0B0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20" w:type="dxa"/>
          </w:tcPr>
          <w:p w14:paraId="79D22BC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513" w:type="dxa"/>
          </w:tcPr>
          <w:p w14:paraId="0EE6929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65" w:type="dxa"/>
            <w:gridSpan w:val="2"/>
          </w:tcPr>
          <w:p w14:paraId="3E936DB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59" w:type="dxa"/>
          </w:tcPr>
          <w:p w14:paraId="38E5202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63" w:type="dxa"/>
          </w:tcPr>
          <w:p w14:paraId="490E8E9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60" w:type="dxa"/>
            <w:gridSpan w:val="2"/>
          </w:tcPr>
          <w:p w14:paraId="4E8139A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62" w:type="dxa"/>
          </w:tcPr>
          <w:p w14:paraId="4E8EA79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59" w:type="dxa"/>
          </w:tcPr>
          <w:p w14:paraId="51C054D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502" w:type="dxa"/>
            <w:gridSpan w:val="2"/>
          </w:tcPr>
          <w:p w14:paraId="5A82FDF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84" w:type="dxa"/>
            <w:gridSpan w:val="2"/>
          </w:tcPr>
          <w:p w14:paraId="6E56BCD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83" w:type="dxa"/>
          </w:tcPr>
          <w:p w14:paraId="1098179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522" w:type="dxa"/>
            <w:gridSpan w:val="2"/>
          </w:tcPr>
          <w:p w14:paraId="35CEDE3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69" w:type="dxa"/>
            <w:gridSpan w:val="2"/>
          </w:tcPr>
          <w:p w14:paraId="5C2ED6D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58" w:type="dxa"/>
          </w:tcPr>
          <w:p w14:paraId="0BF3E1A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58" w:type="dxa"/>
          </w:tcPr>
          <w:p w14:paraId="262563D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458" w:type="dxa"/>
          </w:tcPr>
          <w:p w14:paraId="03741F94" w14:textId="77777777" w:rsidR="002C4126" w:rsidRDefault="002C4126" w:rsidP="00D72708">
            <w:r w:rsidRPr="00482CD9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  <w:tc>
          <w:tcPr>
            <w:tcW w:w="459" w:type="dxa"/>
          </w:tcPr>
          <w:p w14:paraId="18EC1688" w14:textId="77777777" w:rsidR="002C4126" w:rsidRDefault="002C4126" w:rsidP="00D72708">
            <w:r w:rsidRPr="00482CD9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18CEF046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A8D08D" w:themeFill="accent6" w:themeFillTint="99"/>
          </w:tcPr>
          <w:p w14:paraId="29EB159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3AA70BB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140</w:t>
            </w:r>
          </w:p>
        </w:tc>
        <w:tc>
          <w:tcPr>
            <w:tcW w:w="479" w:type="dxa"/>
          </w:tcPr>
          <w:p w14:paraId="3578E2C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482" w:type="dxa"/>
          </w:tcPr>
          <w:p w14:paraId="79A1368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484" w:type="dxa"/>
          </w:tcPr>
          <w:p w14:paraId="38B5960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20" w:type="dxa"/>
          </w:tcPr>
          <w:p w14:paraId="2949ABB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513" w:type="dxa"/>
          </w:tcPr>
          <w:p w14:paraId="0A4D5A2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65" w:type="dxa"/>
            <w:gridSpan w:val="2"/>
          </w:tcPr>
          <w:p w14:paraId="54887FB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59" w:type="dxa"/>
          </w:tcPr>
          <w:p w14:paraId="1399028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463" w:type="dxa"/>
          </w:tcPr>
          <w:p w14:paraId="700397F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60" w:type="dxa"/>
            <w:gridSpan w:val="2"/>
          </w:tcPr>
          <w:p w14:paraId="54EAAAA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462" w:type="dxa"/>
          </w:tcPr>
          <w:p w14:paraId="49A2090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59" w:type="dxa"/>
          </w:tcPr>
          <w:p w14:paraId="684075F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502" w:type="dxa"/>
            <w:gridSpan w:val="2"/>
          </w:tcPr>
          <w:p w14:paraId="0BFAF96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84" w:type="dxa"/>
            <w:gridSpan w:val="2"/>
          </w:tcPr>
          <w:p w14:paraId="363D8D8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83" w:type="dxa"/>
          </w:tcPr>
          <w:p w14:paraId="726B299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522" w:type="dxa"/>
            <w:gridSpan w:val="2"/>
          </w:tcPr>
          <w:p w14:paraId="1428675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69" w:type="dxa"/>
            <w:gridSpan w:val="2"/>
          </w:tcPr>
          <w:p w14:paraId="6D125A6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58" w:type="dxa"/>
          </w:tcPr>
          <w:p w14:paraId="74226E9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58" w:type="dxa"/>
          </w:tcPr>
          <w:p w14:paraId="67FA778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458" w:type="dxa"/>
          </w:tcPr>
          <w:p w14:paraId="0EC8E8B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76</w:t>
            </w:r>
          </w:p>
        </w:tc>
        <w:tc>
          <w:tcPr>
            <w:tcW w:w="459" w:type="dxa"/>
          </w:tcPr>
          <w:p w14:paraId="4C955AF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79</w:t>
            </w:r>
          </w:p>
        </w:tc>
      </w:tr>
      <w:tr w:rsidR="002C4126" w14:paraId="3E276F1A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A8D08D" w:themeFill="accent6" w:themeFillTint="99"/>
          </w:tcPr>
          <w:p w14:paraId="55E478A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BE4D5" w:themeFill="accent2" w:themeFillTint="33"/>
          </w:tcPr>
          <w:p w14:paraId="38F5ACF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120</w:t>
            </w:r>
          </w:p>
        </w:tc>
        <w:tc>
          <w:tcPr>
            <w:tcW w:w="479" w:type="dxa"/>
          </w:tcPr>
          <w:p w14:paraId="43F90A5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482" w:type="dxa"/>
          </w:tcPr>
          <w:p w14:paraId="440FB06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484" w:type="dxa"/>
          </w:tcPr>
          <w:p w14:paraId="28EF741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20" w:type="dxa"/>
          </w:tcPr>
          <w:p w14:paraId="0544E52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513" w:type="dxa"/>
          </w:tcPr>
          <w:p w14:paraId="3F16EFD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465" w:type="dxa"/>
            <w:gridSpan w:val="2"/>
          </w:tcPr>
          <w:p w14:paraId="6DFCD90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59" w:type="dxa"/>
          </w:tcPr>
          <w:p w14:paraId="1820043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63" w:type="dxa"/>
          </w:tcPr>
          <w:p w14:paraId="1F4F98A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60" w:type="dxa"/>
            <w:gridSpan w:val="2"/>
          </w:tcPr>
          <w:p w14:paraId="4BA078F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62" w:type="dxa"/>
          </w:tcPr>
          <w:p w14:paraId="664C7E7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59" w:type="dxa"/>
          </w:tcPr>
          <w:p w14:paraId="1F9C1E3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502" w:type="dxa"/>
            <w:gridSpan w:val="2"/>
          </w:tcPr>
          <w:p w14:paraId="43407B1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84" w:type="dxa"/>
            <w:gridSpan w:val="2"/>
          </w:tcPr>
          <w:p w14:paraId="1BBF5AB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483" w:type="dxa"/>
          </w:tcPr>
          <w:p w14:paraId="170879F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522" w:type="dxa"/>
            <w:gridSpan w:val="2"/>
          </w:tcPr>
          <w:p w14:paraId="3B3B13B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69" w:type="dxa"/>
            <w:gridSpan w:val="2"/>
          </w:tcPr>
          <w:p w14:paraId="6470A61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58" w:type="dxa"/>
          </w:tcPr>
          <w:p w14:paraId="50A123F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458" w:type="dxa"/>
          </w:tcPr>
          <w:p w14:paraId="50EE740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58" w:type="dxa"/>
          </w:tcPr>
          <w:p w14:paraId="66E5350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459" w:type="dxa"/>
          </w:tcPr>
          <w:p w14:paraId="0231737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73</w:t>
            </w:r>
          </w:p>
        </w:tc>
      </w:tr>
      <w:tr w:rsidR="002C4126" w14:paraId="2C36B8C6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 w:val="restart"/>
            <w:shd w:val="clear" w:color="auto" w:fill="C5E0B3" w:themeFill="accent6" w:themeFillTint="66"/>
          </w:tcPr>
          <w:p w14:paraId="09DE0E3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703" w:type="dxa"/>
            <w:shd w:val="clear" w:color="auto" w:fill="C45911" w:themeFill="accent2" w:themeFillShade="BF"/>
          </w:tcPr>
          <w:p w14:paraId="26D52A2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180</w:t>
            </w:r>
          </w:p>
        </w:tc>
        <w:tc>
          <w:tcPr>
            <w:tcW w:w="479" w:type="dxa"/>
          </w:tcPr>
          <w:p w14:paraId="5ABFEF6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53</w:t>
            </w:r>
          </w:p>
        </w:tc>
        <w:tc>
          <w:tcPr>
            <w:tcW w:w="482" w:type="dxa"/>
          </w:tcPr>
          <w:p w14:paraId="104FB08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84" w:type="dxa"/>
          </w:tcPr>
          <w:p w14:paraId="5C335B9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420" w:type="dxa"/>
          </w:tcPr>
          <w:p w14:paraId="394EA7E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513" w:type="dxa"/>
          </w:tcPr>
          <w:p w14:paraId="198CD55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65" w:type="dxa"/>
            <w:gridSpan w:val="2"/>
          </w:tcPr>
          <w:p w14:paraId="4AE029F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459" w:type="dxa"/>
          </w:tcPr>
          <w:p w14:paraId="14B6C2A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463" w:type="dxa"/>
          </w:tcPr>
          <w:p w14:paraId="42560C9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460" w:type="dxa"/>
            <w:gridSpan w:val="2"/>
          </w:tcPr>
          <w:p w14:paraId="7A2D856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62" w:type="dxa"/>
          </w:tcPr>
          <w:p w14:paraId="3F6368A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459" w:type="dxa"/>
          </w:tcPr>
          <w:p w14:paraId="63B2BD5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502" w:type="dxa"/>
            <w:gridSpan w:val="2"/>
          </w:tcPr>
          <w:p w14:paraId="5B1670F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84" w:type="dxa"/>
            <w:gridSpan w:val="2"/>
          </w:tcPr>
          <w:p w14:paraId="06F7D28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83" w:type="dxa"/>
          </w:tcPr>
          <w:p w14:paraId="6C552E8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522" w:type="dxa"/>
            <w:gridSpan w:val="2"/>
          </w:tcPr>
          <w:p w14:paraId="1AE60F6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469" w:type="dxa"/>
            <w:gridSpan w:val="2"/>
          </w:tcPr>
          <w:p w14:paraId="06EA156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58" w:type="dxa"/>
          </w:tcPr>
          <w:p w14:paraId="5D44A7C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58" w:type="dxa"/>
          </w:tcPr>
          <w:p w14:paraId="2DE4509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  <w:tc>
          <w:tcPr>
            <w:tcW w:w="458" w:type="dxa"/>
          </w:tcPr>
          <w:p w14:paraId="2AF44A2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59" w:type="dxa"/>
          </w:tcPr>
          <w:p w14:paraId="78CEAFA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0C3096">
              <w:rPr>
                <w:rFonts w:cstheme="minorHAnsi"/>
                <w:sz w:val="16"/>
                <w:szCs w:val="16"/>
                <w:shd w:val="clear" w:color="auto" w:fill="FFFFFF"/>
              </w:rPr>
              <w:t>&gt;80</w:t>
            </w:r>
          </w:p>
        </w:tc>
      </w:tr>
      <w:tr w:rsidR="002C4126" w14:paraId="4351F23B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C5E0B3" w:themeFill="accent6" w:themeFillTint="66"/>
          </w:tcPr>
          <w:p w14:paraId="4A5B427F" w14:textId="77777777" w:rsidR="002C4126" w:rsidRPr="00E8717D" w:rsidRDefault="002C4126" w:rsidP="00D72708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4B083" w:themeFill="accent2" w:themeFillTint="99"/>
          </w:tcPr>
          <w:p w14:paraId="2A12CF5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160</w:t>
            </w:r>
          </w:p>
        </w:tc>
        <w:tc>
          <w:tcPr>
            <w:tcW w:w="479" w:type="dxa"/>
          </w:tcPr>
          <w:p w14:paraId="2EA80D5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482" w:type="dxa"/>
          </w:tcPr>
          <w:p w14:paraId="0014EEA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51</w:t>
            </w:r>
          </w:p>
        </w:tc>
        <w:tc>
          <w:tcPr>
            <w:tcW w:w="484" w:type="dxa"/>
          </w:tcPr>
          <w:p w14:paraId="3E13E53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420" w:type="dxa"/>
          </w:tcPr>
          <w:p w14:paraId="1C4D4E7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53</w:t>
            </w:r>
          </w:p>
        </w:tc>
        <w:tc>
          <w:tcPr>
            <w:tcW w:w="513" w:type="dxa"/>
          </w:tcPr>
          <w:p w14:paraId="5CC715E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65" w:type="dxa"/>
            <w:gridSpan w:val="2"/>
          </w:tcPr>
          <w:p w14:paraId="5C9FF20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459" w:type="dxa"/>
          </w:tcPr>
          <w:p w14:paraId="7F147F0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463" w:type="dxa"/>
          </w:tcPr>
          <w:p w14:paraId="50595DB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60" w:type="dxa"/>
            <w:gridSpan w:val="2"/>
          </w:tcPr>
          <w:p w14:paraId="0F6D4E9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462" w:type="dxa"/>
          </w:tcPr>
          <w:p w14:paraId="6F6BA14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459" w:type="dxa"/>
          </w:tcPr>
          <w:p w14:paraId="0F1839F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502" w:type="dxa"/>
            <w:gridSpan w:val="2"/>
          </w:tcPr>
          <w:p w14:paraId="2F75036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484" w:type="dxa"/>
            <w:gridSpan w:val="2"/>
          </w:tcPr>
          <w:p w14:paraId="3710B9F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83" w:type="dxa"/>
          </w:tcPr>
          <w:p w14:paraId="17BA5AD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522" w:type="dxa"/>
            <w:gridSpan w:val="2"/>
          </w:tcPr>
          <w:p w14:paraId="633BF9D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469" w:type="dxa"/>
            <w:gridSpan w:val="2"/>
          </w:tcPr>
          <w:p w14:paraId="0EEBAF9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58" w:type="dxa"/>
          </w:tcPr>
          <w:p w14:paraId="02BC774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58" w:type="dxa"/>
          </w:tcPr>
          <w:p w14:paraId="1338611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  <w:tc>
          <w:tcPr>
            <w:tcW w:w="458" w:type="dxa"/>
          </w:tcPr>
          <w:p w14:paraId="74F2879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459" w:type="dxa"/>
          </w:tcPr>
          <w:p w14:paraId="174814C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77</w:t>
            </w:r>
          </w:p>
        </w:tc>
      </w:tr>
      <w:tr w:rsidR="002C4126" w14:paraId="68DD06FA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C5E0B3" w:themeFill="accent6" w:themeFillTint="66"/>
          </w:tcPr>
          <w:p w14:paraId="39C69667" w14:textId="77777777" w:rsidR="002C4126" w:rsidRPr="00E8717D" w:rsidRDefault="002C4126" w:rsidP="00D72708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7CAAC" w:themeFill="accent2" w:themeFillTint="66"/>
          </w:tcPr>
          <w:p w14:paraId="1284C68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140</w:t>
            </w:r>
          </w:p>
        </w:tc>
        <w:tc>
          <w:tcPr>
            <w:tcW w:w="479" w:type="dxa"/>
          </w:tcPr>
          <w:p w14:paraId="0AC041F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48</w:t>
            </w:r>
          </w:p>
        </w:tc>
        <w:tc>
          <w:tcPr>
            <w:tcW w:w="482" w:type="dxa"/>
          </w:tcPr>
          <w:p w14:paraId="0CAE96C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48</w:t>
            </w:r>
          </w:p>
        </w:tc>
        <w:tc>
          <w:tcPr>
            <w:tcW w:w="484" w:type="dxa"/>
          </w:tcPr>
          <w:p w14:paraId="20DB8DD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420" w:type="dxa"/>
          </w:tcPr>
          <w:p w14:paraId="21DE1FE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513" w:type="dxa"/>
          </w:tcPr>
          <w:p w14:paraId="617A480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465" w:type="dxa"/>
            <w:gridSpan w:val="2"/>
          </w:tcPr>
          <w:p w14:paraId="2B2A9C2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459" w:type="dxa"/>
          </w:tcPr>
          <w:p w14:paraId="1CB5229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53</w:t>
            </w:r>
          </w:p>
        </w:tc>
        <w:tc>
          <w:tcPr>
            <w:tcW w:w="463" w:type="dxa"/>
          </w:tcPr>
          <w:p w14:paraId="6BFCCAF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60" w:type="dxa"/>
            <w:gridSpan w:val="2"/>
          </w:tcPr>
          <w:p w14:paraId="5C02D32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462" w:type="dxa"/>
          </w:tcPr>
          <w:p w14:paraId="736B30D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59" w:type="dxa"/>
          </w:tcPr>
          <w:p w14:paraId="723DB8B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502" w:type="dxa"/>
            <w:gridSpan w:val="2"/>
          </w:tcPr>
          <w:p w14:paraId="44E4343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484" w:type="dxa"/>
            <w:gridSpan w:val="2"/>
          </w:tcPr>
          <w:p w14:paraId="01B35BC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483" w:type="dxa"/>
          </w:tcPr>
          <w:p w14:paraId="58D48D3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522" w:type="dxa"/>
            <w:gridSpan w:val="2"/>
          </w:tcPr>
          <w:p w14:paraId="6D39C84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469" w:type="dxa"/>
            <w:gridSpan w:val="2"/>
          </w:tcPr>
          <w:p w14:paraId="5CC61C9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58" w:type="dxa"/>
          </w:tcPr>
          <w:p w14:paraId="3743DF5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58" w:type="dxa"/>
          </w:tcPr>
          <w:p w14:paraId="41DBEA9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458" w:type="dxa"/>
          </w:tcPr>
          <w:p w14:paraId="2CC28DF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459" w:type="dxa"/>
          </w:tcPr>
          <w:p w14:paraId="3ECD665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71</w:t>
            </w:r>
          </w:p>
        </w:tc>
      </w:tr>
      <w:tr w:rsidR="002C4126" w14:paraId="57D22E5D" w14:textId="77777777" w:rsidTr="00D72708">
        <w:trPr>
          <w:gridAfter w:val="1"/>
          <w:wAfter w:w="34" w:type="dxa"/>
          <w:trHeight w:val="452"/>
          <w:jc w:val="center"/>
        </w:trPr>
        <w:tc>
          <w:tcPr>
            <w:tcW w:w="737" w:type="dxa"/>
            <w:vMerge/>
            <w:shd w:val="clear" w:color="auto" w:fill="C5E0B3" w:themeFill="accent6" w:themeFillTint="66"/>
          </w:tcPr>
          <w:p w14:paraId="02619511" w14:textId="77777777" w:rsidR="002C4126" w:rsidRPr="00E8717D" w:rsidRDefault="002C4126" w:rsidP="00D72708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FBE4D5" w:themeFill="accent2" w:themeFillTint="33"/>
          </w:tcPr>
          <w:p w14:paraId="74A0646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120</w:t>
            </w:r>
          </w:p>
        </w:tc>
        <w:tc>
          <w:tcPr>
            <w:tcW w:w="479" w:type="dxa"/>
          </w:tcPr>
          <w:p w14:paraId="483871E0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482" w:type="dxa"/>
          </w:tcPr>
          <w:p w14:paraId="3875809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46</w:t>
            </w:r>
          </w:p>
        </w:tc>
        <w:tc>
          <w:tcPr>
            <w:tcW w:w="484" w:type="dxa"/>
          </w:tcPr>
          <w:p w14:paraId="0ED3992C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420" w:type="dxa"/>
          </w:tcPr>
          <w:p w14:paraId="66A7DEC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48</w:t>
            </w:r>
          </w:p>
        </w:tc>
        <w:tc>
          <w:tcPr>
            <w:tcW w:w="513" w:type="dxa"/>
          </w:tcPr>
          <w:p w14:paraId="511BA36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465" w:type="dxa"/>
            <w:gridSpan w:val="2"/>
          </w:tcPr>
          <w:p w14:paraId="2C57CDEE" w14:textId="77777777" w:rsidR="002C4126" w:rsidRPr="00E8717D" w:rsidRDefault="002C4126" w:rsidP="00D72708">
            <w:pPr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459" w:type="dxa"/>
          </w:tcPr>
          <w:p w14:paraId="3F83E97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463" w:type="dxa"/>
          </w:tcPr>
          <w:p w14:paraId="429F86E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51</w:t>
            </w:r>
          </w:p>
        </w:tc>
        <w:tc>
          <w:tcPr>
            <w:tcW w:w="460" w:type="dxa"/>
            <w:gridSpan w:val="2"/>
          </w:tcPr>
          <w:p w14:paraId="7D07AA4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462" w:type="dxa"/>
          </w:tcPr>
          <w:p w14:paraId="2A1D505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59" w:type="dxa"/>
          </w:tcPr>
          <w:p w14:paraId="41A124D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502" w:type="dxa"/>
            <w:gridSpan w:val="2"/>
          </w:tcPr>
          <w:p w14:paraId="5E0F9EF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484" w:type="dxa"/>
            <w:gridSpan w:val="2"/>
          </w:tcPr>
          <w:p w14:paraId="1851D5BA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483" w:type="dxa"/>
          </w:tcPr>
          <w:p w14:paraId="1681074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522" w:type="dxa"/>
            <w:gridSpan w:val="2"/>
          </w:tcPr>
          <w:p w14:paraId="6F0200C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469" w:type="dxa"/>
            <w:gridSpan w:val="2"/>
          </w:tcPr>
          <w:p w14:paraId="3AE5543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57</w:t>
            </w:r>
          </w:p>
        </w:tc>
        <w:tc>
          <w:tcPr>
            <w:tcW w:w="458" w:type="dxa"/>
          </w:tcPr>
          <w:p w14:paraId="0ADBE41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458" w:type="dxa"/>
          </w:tcPr>
          <w:p w14:paraId="30CA5612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61</w:t>
            </w:r>
          </w:p>
        </w:tc>
        <w:tc>
          <w:tcPr>
            <w:tcW w:w="458" w:type="dxa"/>
          </w:tcPr>
          <w:p w14:paraId="5D54B2D9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459" w:type="dxa"/>
          </w:tcPr>
          <w:p w14:paraId="155E258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66</w:t>
            </w:r>
          </w:p>
        </w:tc>
      </w:tr>
      <w:tr w:rsidR="002C4126" w14:paraId="77547771" w14:textId="77777777" w:rsidTr="00D72708">
        <w:trPr>
          <w:gridAfter w:val="1"/>
          <w:wAfter w:w="34" w:type="dxa"/>
          <w:trHeight w:val="41"/>
          <w:jc w:val="center"/>
        </w:trPr>
        <w:tc>
          <w:tcPr>
            <w:tcW w:w="1440" w:type="dxa"/>
            <w:gridSpan w:val="2"/>
            <w:shd w:val="clear" w:color="auto" w:fill="FF0000"/>
          </w:tcPr>
          <w:p w14:paraId="354997D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proofErr w:type="spellStart"/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Összkoleszterin</w:t>
            </w:r>
            <w:proofErr w:type="spellEnd"/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mmol</w:t>
            </w:r>
            <w:proofErr w:type="spellEnd"/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/l)</w:t>
            </w:r>
          </w:p>
        </w:tc>
        <w:tc>
          <w:tcPr>
            <w:tcW w:w="479" w:type="dxa"/>
            <w:shd w:val="clear" w:color="auto" w:fill="FFB7B7"/>
          </w:tcPr>
          <w:p w14:paraId="6352650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82" w:type="dxa"/>
            <w:shd w:val="clear" w:color="auto" w:fill="FF5B5B"/>
          </w:tcPr>
          <w:p w14:paraId="6AFA7C2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84" w:type="dxa"/>
            <w:shd w:val="clear" w:color="auto" w:fill="FF0000"/>
          </w:tcPr>
          <w:p w14:paraId="267AEB38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420" w:type="dxa"/>
            <w:shd w:val="clear" w:color="auto" w:fill="C00000"/>
          </w:tcPr>
          <w:p w14:paraId="549E9C95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513" w:type="dxa"/>
            <w:shd w:val="clear" w:color="auto" w:fill="800000"/>
          </w:tcPr>
          <w:p w14:paraId="63E9E6C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465" w:type="dxa"/>
            <w:gridSpan w:val="2"/>
            <w:shd w:val="clear" w:color="auto" w:fill="FFB7B7"/>
          </w:tcPr>
          <w:p w14:paraId="1F475AA7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59" w:type="dxa"/>
            <w:shd w:val="clear" w:color="auto" w:fill="FF5B5B"/>
          </w:tcPr>
          <w:p w14:paraId="0F6D83E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83" w:type="dxa"/>
            <w:gridSpan w:val="2"/>
            <w:shd w:val="clear" w:color="auto" w:fill="FF0000"/>
          </w:tcPr>
          <w:p w14:paraId="7769D01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440" w:type="dxa"/>
            <w:shd w:val="clear" w:color="auto" w:fill="C00000"/>
          </w:tcPr>
          <w:p w14:paraId="3161E644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462" w:type="dxa"/>
            <w:shd w:val="clear" w:color="auto" w:fill="800000"/>
          </w:tcPr>
          <w:p w14:paraId="13CB90C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459" w:type="dxa"/>
            <w:shd w:val="clear" w:color="auto" w:fill="FFB7B7"/>
          </w:tcPr>
          <w:p w14:paraId="037CEB9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58" w:type="dxa"/>
            <w:shd w:val="clear" w:color="auto" w:fill="FF5B5B"/>
          </w:tcPr>
          <w:p w14:paraId="6A67EC61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59" w:type="dxa"/>
            <w:gridSpan w:val="2"/>
            <w:shd w:val="clear" w:color="auto" w:fill="FF0000"/>
          </w:tcPr>
          <w:p w14:paraId="2FE4393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12" w:type="dxa"/>
            <w:gridSpan w:val="3"/>
            <w:shd w:val="clear" w:color="auto" w:fill="C00000"/>
          </w:tcPr>
          <w:p w14:paraId="617446CD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462" w:type="dxa"/>
            <w:shd w:val="clear" w:color="auto" w:fill="800000"/>
          </w:tcPr>
          <w:p w14:paraId="44CD136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469" w:type="dxa"/>
            <w:gridSpan w:val="2"/>
            <w:shd w:val="clear" w:color="auto" w:fill="FFB7B7"/>
          </w:tcPr>
          <w:p w14:paraId="0A6ECDC3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58" w:type="dxa"/>
            <w:shd w:val="clear" w:color="auto" w:fill="FF5B5B"/>
          </w:tcPr>
          <w:p w14:paraId="57D855CE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58" w:type="dxa"/>
            <w:shd w:val="clear" w:color="auto" w:fill="FF0000"/>
          </w:tcPr>
          <w:p w14:paraId="2160A0DF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458" w:type="dxa"/>
            <w:shd w:val="clear" w:color="auto" w:fill="C00000"/>
          </w:tcPr>
          <w:p w14:paraId="1308471B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459" w:type="dxa"/>
            <w:shd w:val="clear" w:color="auto" w:fill="800000"/>
          </w:tcPr>
          <w:p w14:paraId="3F9CA436" w14:textId="77777777" w:rsidR="002C4126" w:rsidRPr="00E8717D" w:rsidRDefault="002C4126" w:rsidP="00D72708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E8717D">
              <w:rPr>
                <w:rFonts w:cstheme="minorHAnsi"/>
                <w:sz w:val="16"/>
                <w:szCs w:val="16"/>
                <w:shd w:val="clear" w:color="auto" w:fill="FFFFFF"/>
              </w:rPr>
              <w:t>8</w:t>
            </w:r>
          </w:p>
        </w:tc>
      </w:tr>
    </w:tbl>
    <w:p w14:paraId="7A7C5B1F" w14:textId="7362E507" w:rsidR="00814ACA" w:rsidRPr="00375813" w:rsidRDefault="00D72708" w:rsidP="0054342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Forrás: Saját ábra</w:t>
      </w:r>
    </w:p>
    <w:p w14:paraId="0FC0A615" w14:textId="4C126362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korai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vascularis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öregedés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hez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minden olyan</w:t>
      </w:r>
      <w:r w:rsidR="00F648B2" w:rsidRP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cardiovascularis</w:t>
      </w:r>
      <w:proofErr w:type="spellEnd"/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rendszert érintő </w:t>
      </w:r>
      <w:r w:rsidR="00F648B2"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funkcionális és morfológiai változás 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hozzájárul, amit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esszénkben 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korábban részleteztünk.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 teljesség igénye nélkül: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endothelfunkció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csökkenés, artériás merevség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pulzushullám sebesség fokozódása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 kamrai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hypertrófia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Az előbbieknek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számos rizikó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faktora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létezik, például a táblázatban is szemléltetett dohányzás, illetve a mozgásszegény életmód, jelentős mértékű alkoholfogyasztás, helytelen táplálkozás, elhízás, diabetes mellitus, stressz, </w:t>
      </w:r>
      <w:r w:rsidR="00F648B2">
        <w:rPr>
          <w:rFonts w:ascii="Times New Roman" w:hAnsi="Times New Roman" w:cs="Times New Roman"/>
          <w:sz w:val="24"/>
          <w:szCs w:val="24"/>
          <w:shd w:val="clear" w:color="auto" w:fill="FFFFFF"/>
        </w:rPr>
        <w:t>kevés alvás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legnagyobb kockázati 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mégiscsak az öregedés, de a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>z EVA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kialakulását az említett tényezők gyorsíthatják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EVA paraméterei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noninvazív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módszerekkel vizsgálhatóak. Ennek során az artériafal merevségét, a centrális vérnyomást és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carotis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intima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vastagságát tanulmányozzák. Az EVA idejében történő felismerése a szív-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érrendszeri megbetegedések megelőzése érdekében szükséges. Az EVA felismerését követően érdemes elkezdeni a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gyógyszeres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kezelést, 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illetve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atherosclerosist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elősegítő tényezők erélyes csökkentését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magas szisztolés vérnyomás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antihipertenzív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kezeléssel, gyógyszeresen csökkenthető. </w:t>
      </w:r>
    </w:p>
    <w:p w14:paraId="30789FCD" w14:textId="1E973E50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3E3770" w14:textId="77777777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CB023CE" w14:textId="16CF7999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Cardiovascularis</w:t>
      </w:r>
      <w:proofErr w:type="spellEnd"/>
      <w:r w:rsidRPr="00001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terhelhetőség</w:t>
      </w:r>
    </w:p>
    <w:p w14:paraId="3C5A8E2C" w14:textId="442442B2" w:rsidR="00814ACA" w:rsidRPr="00001A5B" w:rsidRDefault="00814AC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terhelhetőség szignifikáns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változása figyelhető meg egészséges embereknél az öregedés folyamán (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Malbut-Shennan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Young, 1999)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terhelhetőség, fittség mértéke leírható a maximális oxigénfelhasználás értékével (VO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max). A 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max az artériás-vénás oxigénkülönbség és a szív per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térfogatának szorzatával határozható meg.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terhelhetőséget terheléses vizsgálatokkal tanulmányozhatjuk, melyeket laboratóriumi vizsgálatokkal és pályatesztekkel végzünk el. A laboratóriumi vizsgálatok eszközei lehetnek evezőpad, kerékpár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ergométer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úszó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ergométer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futópad. A vizsgálat során EKG monitort, maszkot használunk. Növelhetik a teljesítményt, meredekséget, sebességet, ez alapján mérik 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paraméterek változásait. A keringési rendszer alkalmazkodik a megnövekedett oxigén igényhez, így az aktív életmódot folytató egyének 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max értéke magasabb. A 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max értéke függ továbbá a nemtől, életkortól, illetve az örökölt tulajdonságoktól és </w:t>
      </w:r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cardiovascularis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állapottól (Fletcher és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mtsai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, 1995)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öregedés során csökken a 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, azonban a VO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max megnő, tehát azonos munka elvégzése idős korban korábban bekövetkező elfáradáshoz vezet. Az idősek aerob kapacitása csökken. </w:t>
      </w:r>
      <w:r w:rsidR="00375813">
        <w:rPr>
          <w:rFonts w:ascii="Times New Roman" w:hAnsi="Times New Roman" w:cs="Times New Roman"/>
          <w:sz w:val="24"/>
          <w:szCs w:val="24"/>
          <w:shd w:val="clear" w:color="auto" w:fill="FFFFFF"/>
        </w:rPr>
        <w:t>A 8. ábra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jól szemlélteti a fizikai terhelhetőség csökkenését az öregedés folyamán (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Oxenham</w:t>
      </w:r>
      <w:proofErr w:type="spellEnd"/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Sharp, 2003)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E414CA" w14:textId="20180712" w:rsidR="00375813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hu-HU"/>
        </w:rPr>
        <w:drawing>
          <wp:anchor distT="0" distB="0" distL="114300" distR="114300" simplePos="0" relativeHeight="251659264" behindDoc="0" locked="0" layoutInCell="1" allowOverlap="1" wp14:anchorId="5D8CDD44" wp14:editId="5AEA9704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5486400" cy="320040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75813">
        <w:rPr>
          <w:rFonts w:ascii="Times New Roman" w:hAnsi="Times New Roman" w:cs="Times New Roman"/>
          <w:sz w:val="24"/>
          <w:szCs w:val="24"/>
          <w:shd w:val="clear" w:color="auto" w:fill="FFFFFF"/>
        </w:rPr>
        <w:t>8. ábra</w:t>
      </w:r>
      <w:r w:rsidR="00444F6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75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Maximális fizikai terhelhetőség változása az öregedéssel</w:t>
      </w:r>
    </w:p>
    <w:p w14:paraId="54D3FAE8" w14:textId="7749C779" w:rsidR="00D72708" w:rsidRDefault="00D72708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Forrás: Saját ábra</w:t>
      </w:r>
    </w:p>
    <w:p w14:paraId="790CFD08" w14:textId="2A5986A5" w:rsidR="0042478C" w:rsidRDefault="00814AC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 csökkent terhelhetőség hátterében csökkent szimpatikus idegrendszeri hatások állnak. A szimpatikus idegrendszer a terheléshez való alkalmazkodásban jelentős szerepet tölt be. A β-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adrenerg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receptorok jelátviteli mechanizmusa káros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odik az életkor előrehaladtával,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továbbá a β-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adrenerg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receptorok sűrűsége csökken a szívben (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Hotta</w:t>
      </w:r>
      <w:proofErr w:type="spellEnd"/>
      <w:r w:rsidR="0098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Uchida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, 2010)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Terhelés hatására a vérben az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adrenalin és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noradrenalin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szintje nő, 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neurotranszmitterek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visszavétele csökken</w:t>
      </w:r>
      <w:r w:rsidR="00844904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a jelenség azzal magyarázható, hogy a szervezet a csökkent szimpatikus hatást ellensúlyozni igyekszik, de ennek ellenére az öregedéssel, a receptorok előbb ismertetett változásai miatt, a szimpatikus működés csökken. A rendszeres fizikai aktivitás a nagyartériák merevebbé válását csökkenti, segít a bal kamra </w:t>
      </w:r>
      <w:proofErr w:type="spellStart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kontraktilitásának</w:t>
      </w:r>
      <w:proofErr w:type="spellEnd"/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növelésében</w:t>
      </w:r>
      <w:r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, </w:t>
      </w:r>
      <w:r w:rsidRPr="00001A5B">
        <w:rPr>
          <w:rFonts w:ascii="Times New Roman" w:hAnsi="Times New Roman" w:cs="Times New Roman"/>
          <w:sz w:val="24"/>
          <w:szCs w:val="24"/>
          <w:shd w:val="clear" w:color="auto" w:fill="FFFFFF"/>
        </w:rPr>
        <w:t>a pulzushullám terjedési sebességének csökkentésében, ezáltal javítja az idős szervezet fokozott igénybevételhez történő alkalmazkodását.</w:t>
      </w:r>
    </w:p>
    <w:p w14:paraId="1F6681A1" w14:textId="77777777" w:rsidR="00FB215D" w:rsidRDefault="00FB215D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8F2635" w14:textId="664926E8" w:rsidR="00AC459A" w:rsidRDefault="00FB215D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21. századra az ember átlagos élettartama jelentősen megnövekedett, ezáltal a társadalom nagy részét érintik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cardiovascularis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betegségek, ezért a szív- és érrendszerrel kapcsolatos kutatások napjainkban egyre inkább előtérbe kerülnek. </w:t>
      </w:r>
    </w:p>
    <w:p w14:paraId="3FDFA324" w14:textId="37AFBCB8" w:rsidR="00CA1082" w:rsidRDefault="00CA10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6BE7A87F" w14:textId="77777777" w:rsidR="00AC459A" w:rsidRDefault="00AC459A" w:rsidP="0054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CF7D01" w14:textId="1E78599B" w:rsidR="00B24BC0" w:rsidRPr="00795CF2" w:rsidRDefault="00B24BC0" w:rsidP="00795C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Irodalomjegyzék</w:t>
      </w:r>
    </w:p>
    <w:p w14:paraId="4A49FA58" w14:textId="627E37CE" w:rsidR="00D72708" w:rsidRDefault="00D72708" w:rsidP="00D72708">
      <w:pPr>
        <w:rPr>
          <w:rFonts w:ascii="Times New Roman" w:hAnsi="Times New Roman" w:cs="Times New Roman"/>
          <w:sz w:val="24"/>
          <w:szCs w:val="24"/>
        </w:rPr>
      </w:pPr>
      <w:r w:rsidRPr="00D72708">
        <w:rPr>
          <w:rFonts w:ascii="Times New Roman" w:hAnsi="Times New Roman" w:cs="Times New Roman"/>
          <w:sz w:val="24"/>
          <w:szCs w:val="24"/>
        </w:rPr>
        <w:t xml:space="preserve">Anversa P;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Palackal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T;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Sonnenblick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EH; Olivetti G;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Meggs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LG;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Capasso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JM (1990):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Myocyte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myocyte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hyperplasia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hypertrophied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Research 67: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D72708">
        <w:rPr>
          <w:rFonts w:ascii="Times New Roman" w:hAnsi="Times New Roman" w:cs="Times New Roman"/>
          <w:sz w:val="24"/>
          <w:szCs w:val="24"/>
        </w:rPr>
        <w:t>(4) 871–885</w:t>
      </w:r>
    </w:p>
    <w:p w14:paraId="6F1C881E" w14:textId="1F2FBEFE" w:rsidR="00D72708" w:rsidRPr="00D72708" w:rsidRDefault="00D72708" w:rsidP="00D7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Cattell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MA; Anderson JC;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Hasleton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PS (1996):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elastin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normotensive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aorta.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Clinica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Chimica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245: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D72708">
        <w:rPr>
          <w:rFonts w:ascii="Times New Roman" w:hAnsi="Times New Roman" w:cs="Times New Roman"/>
          <w:sz w:val="24"/>
          <w:szCs w:val="24"/>
        </w:rPr>
        <w:t>(1) 73-84</w:t>
      </w:r>
    </w:p>
    <w:p w14:paraId="2DF65B37" w14:textId="05BED1FF" w:rsidR="00D72708" w:rsidRPr="00D72708" w:rsidRDefault="00D72708" w:rsidP="00D7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Christou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DD;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Seals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DR (2008):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maximal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adrenergic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responsiveness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intrinsic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. Journal of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105: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D72708">
        <w:rPr>
          <w:rFonts w:ascii="Times New Roman" w:hAnsi="Times New Roman" w:cs="Times New Roman"/>
          <w:sz w:val="24"/>
          <w:szCs w:val="24"/>
        </w:rPr>
        <w:t>(1) 24–29</w:t>
      </w:r>
    </w:p>
    <w:p w14:paraId="25036652" w14:textId="048ACE33" w:rsidR="00D72708" w:rsidRPr="00D72708" w:rsidRDefault="00D72708" w:rsidP="00D72708">
      <w:pPr>
        <w:rPr>
          <w:rFonts w:ascii="Times New Roman" w:hAnsi="Times New Roman" w:cs="Times New Roman"/>
          <w:sz w:val="24"/>
          <w:szCs w:val="24"/>
        </w:rPr>
      </w:pPr>
      <w:r w:rsidRPr="00D72708">
        <w:rPr>
          <w:rFonts w:ascii="Times New Roman" w:hAnsi="Times New Roman" w:cs="Times New Roman"/>
          <w:sz w:val="24"/>
          <w:szCs w:val="24"/>
        </w:rPr>
        <w:t xml:space="preserve">Collins C;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Tzima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E (2011):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Hemodynamic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endothelial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gerontology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46: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D72708">
        <w:rPr>
          <w:rFonts w:ascii="Times New Roman" w:hAnsi="Times New Roman" w:cs="Times New Roman"/>
          <w:sz w:val="24"/>
          <w:szCs w:val="24"/>
        </w:rPr>
        <w:t>(2-3) 185-188</w:t>
      </w:r>
    </w:p>
    <w:p w14:paraId="25461110" w14:textId="5C153498" w:rsidR="00D72708" w:rsidRPr="00D72708" w:rsidRDefault="00D72708" w:rsidP="00D7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Cuende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JI;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Cuende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N;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Calaveras-Lagartos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J (2010):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SCORE project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. European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0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72708">
        <w:rPr>
          <w:rFonts w:ascii="Times New Roman" w:hAnsi="Times New Roman" w:cs="Times New Roman"/>
          <w:sz w:val="24"/>
          <w:szCs w:val="24"/>
        </w:rPr>
        <w:t xml:space="preserve"> 31: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D72708">
        <w:rPr>
          <w:rFonts w:ascii="Times New Roman" w:hAnsi="Times New Roman" w:cs="Times New Roman"/>
          <w:sz w:val="24"/>
          <w:szCs w:val="24"/>
        </w:rPr>
        <w:t>(19) 2351-2358</w:t>
      </w:r>
    </w:p>
    <w:p w14:paraId="5DF436F4" w14:textId="348FA2A8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Fletcher C (1995): New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Appraisal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International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3: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(3) 191–196</w:t>
      </w:r>
    </w:p>
    <w:p w14:paraId="7F0D35A2" w14:textId="47967B77" w:rsid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Haqqani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HM;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Kalman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JM (2007):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Sinoatrial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115: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(10) 1178–1179</w:t>
      </w:r>
    </w:p>
    <w:p w14:paraId="04BC68C3" w14:textId="730B4CFC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Hotta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Uchida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S (2010):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autonomic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autonomic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afferent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Geriatrics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Gerontology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International 10 S127–S136</w:t>
      </w:r>
    </w:p>
    <w:p w14:paraId="769DBADE" w14:textId="139547B3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Jakovljevic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DG (2018):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gerontology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109 67-74</w:t>
      </w:r>
    </w:p>
    <w:p w14:paraId="0A1F98D3" w14:textId="67C87376" w:rsid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Jones SA;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Boyett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MR; Lancaster MK (2007):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Declining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115: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(10) 1183–1190</w:t>
      </w:r>
    </w:p>
    <w:p w14:paraId="014A457D" w14:textId="45B84D68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Lakatta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EG;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Levy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D (2003):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: Major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Shareholders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107: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(2) 346–354</w:t>
      </w:r>
    </w:p>
    <w:p w14:paraId="0A6C2077" w14:textId="6DBCF63A" w:rsid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Laurent S;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Boutouyrie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P;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Asmar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R; Gautier I;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Laloux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B;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Guize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L;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Ducimetiere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P;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Benetos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 (2001):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Stiffness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Is an Independent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Predictor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All-Cause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Hypertensive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37: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(5) 1236–1241</w:t>
      </w:r>
    </w:p>
    <w:p w14:paraId="46CC0434" w14:textId="053EF427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Laurent S;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Boutouyrie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P (2007):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stiffness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surrogate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CF2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795CF2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Nephrology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20 S45-50</w:t>
      </w:r>
    </w:p>
    <w:p w14:paraId="18AA88BC" w14:textId="56495C49" w:rsidR="00795CF2" w:rsidRDefault="00795CF2" w:rsidP="0079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Malbut-Shennan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K; Young A (1999): The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physiology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performance and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training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old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Coronary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artery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10:</w:t>
      </w:r>
      <w:r w:rsidR="00F43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(1) 37-42</w:t>
      </w:r>
    </w:p>
    <w:p w14:paraId="3B6AD4A2" w14:textId="77777777" w:rsidR="00795CF2" w:rsidRPr="00795CF2" w:rsidRDefault="00795CF2" w:rsidP="0079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551DC2" w14:textId="0790B57A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lastRenderedPageBreak/>
        <w:t xml:space="preserve">Mitchell GF;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Hwang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SJ;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Vasan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RS;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Larson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MG;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Pencina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MJ; Hamburg NM; Benjamin EJ (2010):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stiffness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Framingham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121: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(4) 505</w:t>
      </w:r>
    </w:p>
    <w:p w14:paraId="36DB5CF4" w14:textId="5FD0F113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O'Leary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DH;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Polak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JF;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Kronmal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RA;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Manolio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TA;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GL;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Wolfson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JrSK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(1999):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Carotid-artery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intima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myocardial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infarction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795CF2">
        <w:rPr>
          <w:rFonts w:ascii="Times New Roman" w:hAnsi="Times New Roman" w:cs="Times New Roman"/>
          <w:sz w:val="24"/>
          <w:szCs w:val="24"/>
        </w:rPr>
        <w:t>stroke in</w:t>
      </w:r>
      <w:proofErr w:type="gram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New England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340: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(1) 14-22</w:t>
      </w:r>
    </w:p>
    <w:p w14:paraId="6C712A0A" w14:textId="109F298F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O’Rourke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Hashimoto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J (2007):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American College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50: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(1) 1–13</w:t>
      </w:r>
    </w:p>
    <w:p w14:paraId="27016282" w14:textId="2FD5B08B" w:rsidR="00795CF2" w:rsidRDefault="00795CF2" w:rsidP="0079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Oxenham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H;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Sharpe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 (2003):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Cardiovascular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aging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heart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failure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European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journal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heart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failure</w:t>
      </w:r>
      <w:proofErr w:type="spellEnd"/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5:</w:t>
      </w:r>
      <w:r w:rsidR="00F43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5CF2">
        <w:rPr>
          <w:rFonts w:ascii="Times New Roman" w:eastAsia="Times New Roman" w:hAnsi="Times New Roman" w:cs="Times New Roman"/>
          <w:sz w:val="24"/>
          <w:szCs w:val="24"/>
          <w:lang w:eastAsia="hu-HU"/>
        </w:rPr>
        <w:t>(4) 427-434</w:t>
      </w:r>
    </w:p>
    <w:p w14:paraId="701A3FD1" w14:textId="3A0F1FA0" w:rsidR="00795CF2" w:rsidRDefault="00795CF2" w:rsidP="0079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D09C6" w14:textId="14E47D51" w:rsidR="00795CF2" w:rsidRPr="00C60320" w:rsidRDefault="00795CF2" w:rsidP="00C60320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Rossi P;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Francès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Y;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Kingwell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BA;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Ahimastos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AA (2011):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biomechanical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life.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29: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(6) 1023-1033</w:t>
      </w:r>
    </w:p>
    <w:p w14:paraId="1C8AC87E" w14:textId="00E42D59" w:rsid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Roth GA; Johnson C;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Abajobir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-Allah 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Abera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SF;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Abyu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G; Ahmed M;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Aksut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B;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T;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K;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Alvis-Guzman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N; Amrock S;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Ärnlöv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J;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Asayesh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Atey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TM;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Avila-Burgos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L;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Awasthi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A; Murray C (2017): Global,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, and National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, 1990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2015.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American College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70: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(1) 1–25</w:t>
      </w:r>
    </w:p>
    <w:p w14:paraId="2B096E29" w14:textId="0CA22D83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Souza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RR (2002):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myocardial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Biogerontology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3: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(6) 325–335</w:t>
      </w:r>
    </w:p>
    <w:p w14:paraId="2DB9E8B2" w14:textId="7ED1D320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Vlachopoulos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C;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Aznaouridis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K;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Stefanadis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C (2010):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All-Cause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Stiffness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American College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55: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(13) 1318–1327</w:t>
      </w:r>
    </w:p>
    <w:p w14:paraId="2A938701" w14:textId="7C342D61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Watanabe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Sawai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T;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Nagura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Suyama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K (1996):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alteration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-linking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amino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elastin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human aorta. The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Tohoku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180: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(2) 115-130</w:t>
      </w:r>
    </w:p>
    <w:p w14:paraId="3B7957C5" w14:textId="26548A01" w:rsidR="00795CF2" w:rsidRPr="00795CF2" w:rsidRDefault="00795CF2" w:rsidP="00795CF2">
      <w:pPr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 xml:space="preserve">White M;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Roden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R;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Minobe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W;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Khan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MF;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Larrabee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P;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Wollmering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M; Port JD; Anderson F; Campbell D;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Feldman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AM (1994):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beta-adrenergic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neuroeffector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90: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(3) 1225–1238</w:t>
      </w:r>
    </w:p>
    <w:p w14:paraId="511788C9" w14:textId="4AEEC442" w:rsidR="00CA1082" w:rsidRDefault="00795CF2" w:rsidP="00CA1082">
      <w:pP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795CF2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A;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Narayanan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N (1998):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sarcoplasmic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reticulum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Ca2+-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proteins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myocardium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. American Journal of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Physiology-Heart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Circulatory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F2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795CF2">
        <w:rPr>
          <w:rFonts w:ascii="Times New Roman" w:hAnsi="Times New Roman" w:cs="Times New Roman"/>
          <w:sz w:val="24"/>
          <w:szCs w:val="24"/>
        </w:rPr>
        <w:t xml:space="preserve"> 275:</w:t>
      </w:r>
      <w:r w:rsidR="00F43760">
        <w:rPr>
          <w:rFonts w:ascii="Times New Roman" w:hAnsi="Times New Roman" w:cs="Times New Roman"/>
          <w:sz w:val="24"/>
          <w:szCs w:val="24"/>
        </w:rPr>
        <w:t xml:space="preserve"> </w:t>
      </w:r>
      <w:r w:rsidRPr="00795CF2">
        <w:rPr>
          <w:rFonts w:ascii="Times New Roman" w:hAnsi="Times New Roman" w:cs="Times New Roman"/>
          <w:sz w:val="24"/>
          <w:szCs w:val="24"/>
        </w:rPr>
        <w:t>(6) H2087–H2094</w:t>
      </w:r>
    </w:p>
    <w:p w14:paraId="11CEF08B" w14:textId="2DF8AA73" w:rsidR="00D72708" w:rsidRPr="00CA1082" w:rsidRDefault="00CA1082" w:rsidP="00CA1082">
      <w:pPr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br w:type="page"/>
      </w:r>
    </w:p>
    <w:p w14:paraId="2F5346D0" w14:textId="29F2579A" w:rsidR="00814ACA" w:rsidRPr="00B24BC0" w:rsidRDefault="00375813" w:rsidP="0054342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BC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Ábrajegyzék</w:t>
      </w:r>
    </w:p>
    <w:p w14:paraId="5BDDF345" w14:textId="1BE83918" w:rsidR="00CD2986" w:rsidRPr="00CD2986" w:rsidRDefault="00375813" w:rsidP="00CD2986">
      <w:pPr>
        <w:pStyle w:val="Listaszerbekezds"/>
        <w:numPr>
          <w:ilvl w:val="0"/>
          <w:numId w:val="2"/>
        </w:numPr>
        <w:rPr>
          <w:b/>
          <w:bCs/>
        </w:rPr>
      </w:pPr>
      <w:r w:rsidRPr="00CD2986">
        <w:rPr>
          <w:rFonts w:ascii="Times New Roman" w:eastAsia="Calibri" w:hAnsi="Times New Roman" w:cs="Times New Roman"/>
          <w:sz w:val="24"/>
          <w:szCs w:val="24"/>
        </w:rPr>
        <w:t>ábra:</w:t>
      </w:r>
      <w:r w:rsidR="00CD2986">
        <w:rPr>
          <w:rFonts w:ascii="Times New Roman" w:eastAsia="Calibri" w:hAnsi="Times New Roman" w:cs="Times New Roman"/>
          <w:sz w:val="24"/>
          <w:szCs w:val="24"/>
        </w:rPr>
        <w:t xml:space="preserve"> Készítette: Hambuch Flóra</w:t>
      </w:r>
    </w:p>
    <w:p w14:paraId="13F8968E" w14:textId="5922BE26" w:rsidR="00CD2986" w:rsidRPr="00B24BC0" w:rsidRDefault="00CA1082" w:rsidP="00CD2986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11" w:anchor="bib18" w:history="1">
        <w:r w:rsidR="00CD2986" w:rsidRPr="00B24BC0">
          <w:rPr>
            <w:rStyle w:val="Hiperhivatkozs"/>
            <w:rFonts w:ascii="Times New Roman" w:hAnsi="Times New Roman" w:cs="Times New Roman"/>
            <w:sz w:val="24"/>
            <w:szCs w:val="24"/>
          </w:rPr>
          <w:t>https://www.sciencedirect.com/science/article/pii/S0735109719357675?via%3Dihub&amp;fbclid=IwAR0-p3n0BvXlsMelu4ujKng8GEeg_V60MAClXR2jBb2Pi8zt9HLrQHWIek0#bib18</w:t>
        </w:r>
      </w:hyperlink>
    </w:p>
    <w:p w14:paraId="5F05DD02" w14:textId="77777777" w:rsidR="00B24BC0" w:rsidRDefault="00CD2986" w:rsidP="00375813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ábra: Készítette: Hambuch Flóra</w:t>
      </w:r>
      <w:r w:rsidR="00B24B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358A9" w14:textId="543C8F1D" w:rsidR="00375813" w:rsidRPr="00B24BC0" w:rsidRDefault="00CA1082" w:rsidP="00B24BC0">
      <w:pPr>
        <w:pStyle w:val="Listaszerbekezds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24BC0" w:rsidRPr="00B24BC0">
          <w:rPr>
            <w:rStyle w:val="Hiperhivatkozs"/>
            <w:rFonts w:ascii="Times New Roman" w:hAnsi="Times New Roman" w:cs="Times New Roman"/>
            <w:sz w:val="24"/>
            <w:szCs w:val="24"/>
          </w:rPr>
          <w:t>https://slideplayer.com/slide/754648/</w:t>
        </w:r>
      </w:hyperlink>
    </w:p>
    <w:p w14:paraId="09060491" w14:textId="0283C858" w:rsidR="00CD2986" w:rsidRDefault="00B24BC0" w:rsidP="00B24BC0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ábra: Készítette: Hambuch Flóra</w:t>
      </w:r>
    </w:p>
    <w:p w14:paraId="0F8B2731" w14:textId="2361B1DE" w:rsidR="00B24BC0" w:rsidRDefault="00CA1082" w:rsidP="00B24BC0">
      <w:pPr>
        <w:pStyle w:val="Listaszerbekezds"/>
      </w:pPr>
      <w:hyperlink r:id="rId13" w:history="1">
        <w:r w:rsidR="00B24BC0" w:rsidRPr="008C6E74">
          <w:rPr>
            <w:rStyle w:val="Hiperhivatkozs"/>
          </w:rPr>
          <w:t>https://journals.physiology.org/doi/full/10.1152/japplphysiol.90401.2008</w:t>
        </w:r>
      </w:hyperlink>
    </w:p>
    <w:p w14:paraId="14A97784" w14:textId="706C1E1F" w:rsidR="00B24BC0" w:rsidRDefault="00B24BC0" w:rsidP="00B24BC0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ábra: Készítette: Bujtor Zsófia Krisztina</w:t>
      </w:r>
    </w:p>
    <w:p w14:paraId="13615D40" w14:textId="66D33220" w:rsidR="00B24BC0" w:rsidRDefault="00CA1082" w:rsidP="00B24BC0">
      <w:pPr>
        <w:pStyle w:val="Listaszerbekezds"/>
        <w:rPr>
          <w:rStyle w:val="Hiperhivatkozs"/>
        </w:rPr>
      </w:pPr>
      <w:hyperlink r:id="rId14" w:history="1">
        <w:r w:rsidR="00B24BC0" w:rsidRPr="008C6E74">
          <w:rPr>
            <w:rStyle w:val="Hiperhivatkozs"/>
          </w:rPr>
          <w:t>https://www.ahajournals.org/doi/10.1161/CIRCRESAHA.118.312208?fbclid=IwAR0M0Cmxk0bXir1tx60fsPnFy6jirllBrnhu1iXQpt5amqYY8RdLCxHjyRI</w:t>
        </w:r>
      </w:hyperlink>
    </w:p>
    <w:p w14:paraId="01FFB185" w14:textId="63C903F0" w:rsidR="00B24BC0" w:rsidRDefault="00B24BC0" w:rsidP="00B24BC0">
      <w:pPr>
        <w:pStyle w:val="Listaszerbekezds"/>
        <w:numPr>
          <w:ilvl w:val="0"/>
          <w:numId w:val="2"/>
        </w:numP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24BC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ábra: Készítette: Bujtor Zsófia Krisztina</w:t>
      </w:r>
    </w:p>
    <w:p w14:paraId="31A8FD9B" w14:textId="72AAEE42" w:rsidR="00B24BC0" w:rsidRPr="00495A02" w:rsidRDefault="00CA1082" w:rsidP="00495A02">
      <w:pPr>
        <w:pStyle w:val="Listaszerbekezds"/>
        <w:rPr>
          <w:rStyle w:val="Hiperhivatkozs"/>
          <w:color w:val="auto"/>
          <w:u w:val="none"/>
        </w:rPr>
      </w:pPr>
      <w:hyperlink r:id="rId15" w:history="1">
        <w:r w:rsidR="00B24BC0" w:rsidRPr="008C6E74">
          <w:rPr>
            <w:rStyle w:val="Hiperhivatkozs"/>
          </w:rPr>
          <w:t>https://www.revportcardiol.org/en-a-statistical-definition-aortic-pulse-articulo-S2174204911700113?fbclid=IwAR2OEVZL8HYqC5cfEQkIi7NY-H50IooQjz7U_bBgniteToB8ymu7bYmV0vQ</w:t>
        </w:r>
      </w:hyperlink>
    </w:p>
    <w:p w14:paraId="21BA61C7" w14:textId="37A42277" w:rsidR="00B24BC0" w:rsidRDefault="00B24BC0" w:rsidP="00B24BC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BC0">
        <w:rPr>
          <w:rFonts w:ascii="Times New Roman" w:hAnsi="Times New Roman" w:cs="Times New Roman"/>
          <w:sz w:val="24"/>
          <w:szCs w:val="24"/>
        </w:rPr>
        <w:t xml:space="preserve">ábra: </w:t>
      </w:r>
      <w:r>
        <w:rPr>
          <w:rFonts w:ascii="Times New Roman" w:hAnsi="Times New Roman" w:cs="Times New Roman"/>
          <w:sz w:val="24"/>
          <w:szCs w:val="24"/>
        </w:rPr>
        <w:t>Készítette: Bujtor Zsófia Krisztina</w:t>
      </w:r>
    </w:p>
    <w:p w14:paraId="2ECAF225" w14:textId="47346377" w:rsidR="00B24BC0" w:rsidRPr="00B24BC0" w:rsidRDefault="00CA1082" w:rsidP="00B24BC0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24BC0" w:rsidRPr="00FA36EA">
          <w:rPr>
            <w:rStyle w:val="Hiperhivatkozs"/>
          </w:rPr>
          <w:t>https://hellenicjcardiol.org/archive/full_text/2010/5/2010_5_421.pdf?fbclid=IwAR1BFNBCGq7508SgE2ZonSPYQFSYjlNT99ywhpW6noO_gy63R01GU8bxGCo</w:t>
        </w:r>
      </w:hyperlink>
    </w:p>
    <w:p w14:paraId="4FCAAD9C" w14:textId="04C3F5A1" w:rsidR="00B24BC0" w:rsidRDefault="00B24BC0" w:rsidP="00B24BC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BC0">
        <w:rPr>
          <w:rFonts w:ascii="Times New Roman" w:hAnsi="Times New Roman" w:cs="Times New Roman"/>
          <w:sz w:val="24"/>
          <w:szCs w:val="24"/>
        </w:rPr>
        <w:t>ábra:</w:t>
      </w:r>
      <w:r>
        <w:rPr>
          <w:rFonts w:ascii="Times New Roman" w:hAnsi="Times New Roman" w:cs="Times New Roman"/>
          <w:sz w:val="24"/>
          <w:szCs w:val="24"/>
        </w:rPr>
        <w:t xml:space="preserve"> Készítette: Simon Zsófia Zoé</w:t>
      </w:r>
    </w:p>
    <w:p w14:paraId="6CB2D530" w14:textId="28692858" w:rsidR="00B24BC0" w:rsidRPr="00B24BC0" w:rsidRDefault="00CA1082" w:rsidP="00B24BC0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24BC0" w:rsidRPr="00FA36EA">
          <w:rPr>
            <w:rStyle w:val="Hiperhivatkozs"/>
          </w:rPr>
          <w:t>https://academic.oup.com/eurheartj/article/31/19/2351/441733?login=true&amp;fbclid=IwAR1Ufy012atGMJBybs1_2FYHGz5RnNePiLzk53ONUkO-BVNu7V8KW2cb_f4</w:t>
        </w:r>
      </w:hyperlink>
    </w:p>
    <w:p w14:paraId="7270D98C" w14:textId="16C78199" w:rsidR="00B24BC0" w:rsidRDefault="00B24BC0" w:rsidP="00B24BC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BC0">
        <w:rPr>
          <w:rFonts w:ascii="Times New Roman" w:hAnsi="Times New Roman" w:cs="Times New Roman"/>
          <w:sz w:val="24"/>
          <w:szCs w:val="24"/>
        </w:rPr>
        <w:t>ábra</w:t>
      </w:r>
      <w:r>
        <w:rPr>
          <w:rFonts w:ascii="Times New Roman" w:hAnsi="Times New Roman" w:cs="Times New Roman"/>
          <w:sz w:val="24"/>
          <w:szCs w:val="24"/>
        </w:rPr>
        <w:t>: Készítette: Simon Zsófia Zoé</w:t>
      </w:r>
    </w:p>
    <w:p w14:paraId="7EC3853F" w14:textId="617B3D19" w:rsidR="00B24BC0" w:rsidRPr="00B24BC0" w:rsidRDefault="00CA1082" w:rsidP="00B24BC0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24BC0" w:rsidRPr="00FA36EA">
          <w:rPr>
            <w:rStyle w:val="Hiperhivatkozs"/>
          </w:rPr>
          <w:t>https://onlinelibrary.wiley.com/doi/full/10.1016/S1388-9842%2803%2900011-4?fbclid=IwAR17rvKe499RWqhKUHIr1bN7-KiWD_QO5-xb9WVYDptmCjXRDqINMhjlYJI</w:t>
        </w:r>
      </w:hyperlink>
    </w:p>
    <w:p w14:paraId="7ECC7D13" w14:textId="228345A7" w:rsidR="00B24BC0" w:rsidRDefault="00B24BC0" w:rsidP="00B24BC0">
      <w:pPr>
        <w:pStyle w:val="Listaszerbekezds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3CBE5" w14:textId="0F81DAD3" w:rsidR="00495A02" w:rsidRDefault="00495A02" w:rsidP="00B24BC0">
      <w:pPr>
        <w:pStyle w:val="Listaszerbekezds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F8371" w14:textId="0690F4AE" w:rsidR="00495A02" w:rsidRPr="0042478C" w:rsidRDefault="00C86EEE" w:rsidP="0042478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78C">
        <w:rPr>
          <w:rFonts w:ascii="Times New Roman" w:eastAsia="Calibri" w:hAnsi="Times New Roman" w:cs="Times New Roman"/>
          <w:b/>
          <w:bCs/>
          <w:sz w:val="24"/>
          <w:szCs w:val="24"/>
        </w:rPr>
        <w:t>Felhasznált weboldalak:</w:t>
      </w:r>
    </w:p>
    <w:p w14:paraId="1D3DE15B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https://www.ahajournals.org/doi/10.1161/CIRCRESAHA.118.312208?fbclid=IwAR1c1R3iR7KbS_63Of19HFUibwEayiJctcTrBUC-2KGbjce-kaSDCLMiYFc</w:t>
        </w:r>
      </w:hyperlink>
    </w:p>
    <w:p w14:paraId="69FB134F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https://www.sciencedirect.com/science/article/pii/S0735109719357675?via%3Dihub&amp;fbclid=IwAR0-p3n0BvXlsMelu4ujKng8GEeg_V60MAClXR2jBb2Pi8zt9HLrQHWIek0</w:t>
        </w:r>
      </w:hyperlink>
    </w:p>
    <w:p w14:paraId="6020A0D4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https://onlinelibrary.wiley.com/doi/full/10.1016/S1388-9842%2803%2900011-4?fbclid=IwAR2gC3K-hPzkNXxqZnh8WdM8HpKQqUI_QG7Us9vKEXj--2aayWSzJlsAIss</w:t>
        </w:r>
      </w:hyperlink>
    </w:p>
    <w:p w14:paraId="5EC6CAC4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https://www.hindawi.com/journals/crp/2011/263585/?fbclid=IwAR0-p3n0BvXlsMelu4ujKng8GEeg_V60MAClXR2jBb2Pi8zt9HLrQHWIek0</w:t>
        </w:r>
      </w:hyperlink>
    </w:p>
    <w:p w14:paraId="0B5DB4AC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https://journals.physiology.org/doi/full/10.1152/japplphysiol.00601.2003?fbclid=IwAR1d6QmruaBLbsWubOSZmrY_M1iCpw7ogFW9M-6yvSuFhF9GGgBbi8Av5fU</w:t>
        </w:r>
      </w:hyperlink>
    </w:p>
    <w:p w14:paraId="24E8DA71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https://academic.oup.com/cardiovascres/article/54/1/25/296008?login=true&amp;fbclid=IwAR0B04--dOKe9mf_8FGvI8Uxh2P6lA2IOq1CY_LBkgPRWgif4rYar6nvzXI</w:t>
        </w:r>
      </w:hyperlink>
    </w:p>
    <w:p w14:paraId="1410DE1F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https://www.jacc.org/doi/full/10.1016/j.jacc.2017.01.064?fbclid=IwAR2Hy2Sdno8OEEqbfq8fi0aOdvs0urPe5BKglLMg4NA_dJZ9S1RBqT-ErfY</w:t>
        </w:r>
      </w:hyperlink>
    </w:p>
    <w:p w14:paraId="66260029" w14:textId="77777777" w:rsidR="0042478C" w:rsidRPr="0042478C" w:rsidRDefault="00CA1082" w:rsidP="004247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42478C" w:rsidRPr="0042478C">
          <w:rPr>
            <w:rStyle w:val="Hiperhivatkozs"/>
            <w:rFonts w:ascii="Times New Roman" w:hAnsi="Times New Roman" w:cs="Times New Roman"/>
            <w:sz w:val="24"/>
            <w:szCs w:val="24"/>
          </w:rPr>
          <w:t>https://www.researchgate.net/publication/308548797_Cardiovascular_aging</w:t>
        </w:r>
      </w:hyperlink>
    </w:p>
    <w:p w14:paraId="0207684B" w14:textId="613FD5E1" w:rsidR="00C86EEE" w:rsidRPr="00B24BC0" w:rsidRDefault="00C86EEE" w:rsidP="00B24BC0">
      <w:pPr>
        <w:pStyle w:val="Listaszerbekezds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86EEE" w:rsidRPr="00B2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08C"/>
    <w:multiLevelType w:val="hybridMultilevel"/>
    <w:tmpl w:val="73308F60"/>
    <w:lvl w:ilvl="0" w:tplc="AEE2BC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5F378F"/>
    <w:multiLevelType w:val="hybridMultilevel"/>
    <w:tmpl w:val="740C8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CCB"/>
    <w:multiLevelType w:val="hybridMultilevel"/>
    <w:tmpl w:val="99501226"/>
    <w:lvl w:ilvl="0" w:tplc="0120A034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677D01"/>
    <w:multiLevelType w:val="hybridMultilevel"/>
    <w:tmpl w:val="02524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6E2"/>
    <w:multiLevelType w:val="hybridMultilevel"/>
    <w:tmpl w:val="D292C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1E"/>
    <w:rsid w:val="00095286"/>
    <w:rsid w:val="000C0A60"/>
    <w:rsid w:val="00106B79"/>
    <w:rsid w:val="002C4126"/>
    <w:rsid w:val="002E2D79"/>
    <w:rsid w:val="0037351F"/>
    <w:rsid w:val="00375813"/>
    <w:rsid w:val="00422DC1"/>
    <w:rsid w:val="0042478C"/>
    <w:rsid w:val="00444F63"/>
    <w:rsid w:val="00495A02"/>
    <w:rsid w:val="00543429"/>
    <w:rsid w:val="00553E24"/>
    <w:rsid w:val="00565C1F"/>
    <w:rsid w:val="005D2BD8"/>
    <w:rsid w:val="005D3BD6"/>
    <w:rsid w:val="00700F4D"/>
    <w:rsid w:val="007226D6"/>
    <w:rsid w:val="00795CF2"/>
    <w:rsid w:val="007D7D1C"/>
    <w:rsid w:val="00814ACA"/>
    <w:rsid w:val="00844904"/>
    <w:rsid w:val="00900F6A"/>
    <w:rsid w:val="00961B1E"/>
    <w:rsid w:val="00983784"/>
    <w:rsid w:val="00A04DE2"/>
    <w:rsid w:val="00A33A29"/>
    <w:rsid w:val="00AA23F2"/>
    <w:rsid w:val="00AC459A"/>
    <w:rsid w:val="00B14F16"/>
    <w:rsid w:val="00B24BC0"/>
    <w:rsid w:val="00C06223"/>
    <w:rsid w:val="00C34A04"/>
    <w:rsid w:val="00C60261"/>
    <w:rsid w:val="00C60320"/>
    <w:rsid w:val="00C86EEE"/>
    <w:rsid w:val="00CA1082"/>
    <w:rsid w:val="00CD2986"/>
    <w:rsid w:val="00D72708"/>
    <w:rsid w:val="00DC39CE"/>
    <w:rsid w:val="00E75930"/>
    <w:rsid w:val="00F26587"/>
    <w:rsid w:val="00F33FB7"/>
    <w:rsid w:val="00F43760"/>
    <w:rsid w:val="00F648B2"/>
    <w:rsid w:val="00F92A0B"/>
    <w:rsid w:val="00FB215D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616E"/>
  <w15:chartTrackingRefBased/>
  <w15:docId w15:val="{2557571B-6518-4F93-AE43-B558FF4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3FB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29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journals.physiology.org/doi/full/10.1152/japplphysiol.90401.2008" TargetMode="External"/><Relationship Id="rId18" Type="http://schemas.openxmlformats.org/officeDocument/2006/relationships/hyperlink" Target="https://onlinelibrary.wiley.com/doi/full/10.1016/S1388-9842%2803%2900011-4?fbclid=IwAR17rvKe499RWqhKUHIr1bN7-KiWD_QO5-xb9WVYDptmCjXRDqINMhjlYJI" TargetMode="External"/><Relationship Id="rId26" Type="http://schemas.openxmlformats.org/officeDocument/2006/relationships/hyperlink" Target="https://www.researchgate.net/publication/308548797_Cardiovascular_ag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library.wiley.com/doi/full/10.1016/S1388-9842%2803%2900011-4?fbclid=IwAR2gC3K-hPzkNXxqZnh8WdM8HpKQqUI_QG7Us9vKEXj--2aayWSzJlsAIss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lideplayer.com/slide/754648/" TargetMode="External"/><Relationship Id="rId17" Type="http://schemas.openxmlformats.org/officeDocument/2006/relationships/hyperlink" Target="https://academic.oup.com/eurheartj/article/31/19/2351/441733?login=true&amp;fbclid=IwAR1Ufy012atGMJBybs1_2FYHGz5RnNePiLzk53ONUkO-BVNu7V8KW2cb_f4" TargetMode="External"/><Relationship Id="rId25" Type="http://schemas.openxmlformats.org/officeDocument/2006/relationships/hyperlink" Target="https://www.jacc.org/doi/full/10.1016/j.jacc.2017.01.064?fbclid=IwAR2Hy2Sdno8OEEqbfq8fi0aOdvs0urPe5BKglLMg4NA_dJZ9S1RBqT-Er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lenicjcardiol.org/archive/full_text/2010/5/2010_5_421.pdf?fbclid=IwAR1BFNBCGq7508SgE2ZonSPYQFSYjlNT99ywhpW6noO_gy63R01GU8bxGCo" TargetMode="External"/><Relationship Id="rId20" Type="http://schemas.openxmlformats.org/officeDocument/2006/relationships/hyperlink" Target="https://www.sciencedirect.com/science/article/pii/S0735109719357675?via%3Dihub&amp;fbclid=IwAR0-p3n0BvXlsMelu4ujKng8GEeg_V60MAClXR2jBb2Pi8zt9HLrQHWIek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iencedirect.com/science/article/pii/S0735109719357675?via%3Dihub&amp;fbclid=IwAR0-p3n0BvXlsMelu4ujKng8GEeg_V60MAClXR2jBb2Pi8zt9HLrQHWIek0" TargetMode="External"/><Relationship Id="rId24" Type="http://schemas.openxmlformats.org/officeDocument/2006/relationships/hyperlink" Target="https://academic.oup.com/cardiovascres/article/54/1/25/296008?login=true&amp;fbclid=IwAR0B04--dOKe9mf_8FGvI8Uxh2P6lA2IOq1CY_LBkgPRWgif4rYar6nvzX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evportcardiol.org/en-a-statistical-definition-aortic-pulse-articulo-S2174204911700113?fbclid=IwAR2OEVZL8HYqC5cfEQkIi7NY-H50IooQjz7U_bBgniteToB8ymu7bYmV0vQ" TargetMode="External"/><Relationship Id="rId23" Type="http://schemas.openxmlformats.org/officeDocument/2006/relationships/hyperlink" Target="https://journals.physiology.org/doi/full/10.1152/japplphysiol.00601.2003?fbclid=IwAR1d6QmruaBLbsWubOSZmrY_M1iCpw7ogFW9M-6yvSuFhF9GGgBbi8Av5fU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www.ahajournals.org/doi/10.1161/CIRCRESAHA.118.312208?fbclid=IwAR1c1R3iR7KbS_63Of19HFUibwEayiJctcTrBUC-2KGbjce-kaSDCLMiYF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ahajournals.org/doi/10.1161/CIRCRESAHA.118.312208?fbclid=IwAR0M0Cmxk0bXir1tx60fsPnFy6jirllBrnhu1iXQpt5amqYY8RdLCxHjyRI" TargetMode="External"/><Relationship Id="rId22" Type="http://schemas.openxmlformats.org/officeDocument/2006/relationships/hyperlink" Target="https://www.hindawi.com/journals/crp/2011/263585/?fbclid=IwAR0-p3n0BvXlsMelu4ujKng8GEeg_V60MAClXR2jBb2Pi8zt9HLrQHWIek0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maximális fizikai terhelhetőség változása az öregedéssel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férfiak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Munka1!$A$2:$A$7</c:f>
              <c:strCache>
                <c:ptCount val="6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60-69</c:v>
                </c:pt>
                <c:pt idx="5">
                  <c:v>70-79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43</c:v>
                </c:pt>
                <c:pt idx="1">
                  <c:v>42</c:v>
                </c:pt>
                <c:pt idx="2">
                  <c:v>40</c:v>
                </c:pt>
                <c:pt idx="3">
                  <c:v>36</c:v>
                </c:pt>
                <c:pt idx="4">
                  <c:v>32</c:v>
                </c:pt>
                <c:pt idx="5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E2-4615-B6BF-B58A2E38D0D8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nők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Munka1!$A$2:$A$7</c:f>
              <c:strCache>
                <c:ptCount val="6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60-69</c:v>
                </c:pt>
                <c:pt idx="5">
                  <c:v>70-79</c:v>
                </c:pt>
              </c:strCache>
            </c:strRef>
          </c:cat>
          <c:val>
            <c:numRef>
              <c:f>Munka1!$C$2:$C$7</c:f>
              <c:numCache>
                <c:formatCode>General</c:formatCode>
                <c:ptCount val="6"/>
                <c:pt idx="0">
                  <c:v>36</c:v>
                </c:pt>
                <c:pt idx="1">
                  <c:v>34</c:v>
                </c:pt>
                <c:pt idx="2">
                  <c:v>31</c:v>
                </c:pt>
                <c:pt idx="3">
                  <c:v>29</c:v>
                </c:pt>
                <c:pt idx="4">
                  <c:v>26</c:v>
                </c:pt>
                <c:pt idx="5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E2-4615-B6BF-B58A2E38D0D8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Oszlop1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Munka1!$A$2:$A$7</c:f>
              <c:strCache>
                <c:ptCount val="6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60-69</c:v>
                </c:pt>
                <c:pt idx="5">
                  <c:v>70-79</c:v>
                </c:pt>
              </c:strCache>
            </c:strRef>
          </c:cat>
          <c:val>
            <c:numRef>
              <c:f>Munka1!$D$2:$D$7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E2-4615-B6BF-B58A2E38D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0023056"/>
        <c:axId val="450024368"/>
      </c:lineChart>
      <c:catAx>
        <c:axId val="450023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életkor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0024368"/>
        <c:crosses val="autoZero"/>
        <c:auto val="1"/>
        <c:lblAlgn val="ctr"/>
        <c:lblOffset val="100"/>
        <c:noMultiLvlLbl val="0"/>
      </c:catAx>
      <c:valAx>
        <c:axId val="45002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fizikai</a:t>
                </a:r>
                <a:r>
                  <a:rPr lang="hu-HU" baseline="0"/>
                  <a:t> terhelhetőség (ml/g/min)</a:t>
                </a:r>
                <a:endParaRPr lang="hu-H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002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933238553514144"/>
          <c:y val="0.93303524559430073"/>
          <c:w val="0.2365004374453193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3691</Words>
  <Characters>25472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Hambuch Flóra</dc:creator>
  <cp:keywords/>
  <dc:description/>
  <cp:lastModifiedBy>Hambuch Flóra</cp:lastModifiedBy>
  <cp:revision>12</cp:revision>
  <dcterms:created xsi:type="dcterms:W3CDTF">2021-04-27T18:36:00Z</dcterms:created>
  <dcterms:modified xsi:type="dcterms:W3CDTF">2021-05-01T19:31:00Z</dcterms:modified>
</cp:coreProperties>
</file>